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C0" w:rsidRDefault="006B5CC0" w:rsidP="006B5CC0">
      <w:pPr>
        <w:pStyle w:val="NoSpacing"/>
        <w:jc w:val="center"/>
        <w:rPr>
          <w:b/>
        </w:rPr>
      </w:pPr>
      <w:r>
        <w:rPr>
          <w:b/>
        </w:rPr>
        <w:t>OHIO STATE APPRENTICESHIP COUNCIL</w:t>
      </w:r>
    </w:p>
    <w:p w:rsidR="006B5CC0" w:rsidRDefault="006B5CC0" w:rsidP="006B5CC0">
      <w:pPr>
        <w:pStyle w:val="NoSpacing"/>
        <w:jc w:val="center"/>
        <w:rPr>
          <w:b/>
        </w:rPr>
      </w:pPr>
      <w:r>
        <w:rPr>
          <w:b/>
        </w:rPr>
        <w:t>POLICY OF PRE-APPRENTICESHIP</w:t>
      </w:r>
    </w:p>
    <w:p w:rsidR="006B5CC0" w:rsidRDefault="006B5CC0" w:rsidP="006B5CC0">
      <w:pPr>
        <w:pStyle w:val="NoSpacing"/>
        <w:jc w:val="center"/>
        <w:rPr>
          <w:b/>
        </w:rPr>
      </w:pPr>
      <w:r>
        <w:rPr>
          <w:b/>
        </w:rPr>
        <w:t>COVER PAGE</w:t>
      </w:r>
    </w:p>
    <w:p w:rsidR="006B5CC0" w:rsidRDefault="006B5CC0" w:rsidP="006B5CC0">
      <w:pPr>
        <w:pStyle w:val="NoSpacing"/>
        <w:jc w:val="center"/>
        <w:rPr>
          <w:b/>
        </w:rPr>
      </w:pPr>
    </w:p>
    <w:p w:rsidR="006B5CC0" w:rsidRDefault="006B5CC0" w:rsidP="006B5CC0">
      <w:pPr>
        <w:pStyle w:val="NoSpacing"/>
        <w:rPr>
          <w:b/>
        </w:rPr>
      </w:pPr>
    </w:p>
    <w:tbl>
      <w:tblPr>
        <w:tblStyle w:val="TableGrid"/>
        <w:tblW w:w="0" w:type="auto"/>
        <w:tblInd w:w="85" w:type="dxa"/>
        <w:tblLook w:val="04A0" w:firstRow="1" w:lastRow="0" w:firstColumn="1" w:lastColumn="0" w:noHBand="0" w:noVBand="1"/>
      </w:tblPr>
      <w:tblGrid>
        <w:gridCol w:w="2250"/>
        <w:gridCol w:w="8010"/>
      </w:tblGrid>
      <w:tr w:rsidR="000370F7" w:rsidTr="000370F7">
        <w:tc>
          <w:tcPr>
            <w:tcW w:w="2250" w:type="dxa"/>
          </w:tcPr>
          <w:p w:rsidR="000370F7" w:rsidRDefault="000370F7" w:rsidP="006B5CC0">
            <w:pPr>
              <w:pStyle w:val="NoSpacing"/>
              <w:ind w:left="0" w:firstLine="0"/>
              <w:rPr>
                <w:b/>
              </w:rPr>
            </w:pPr>
          </w:p>
          <w:p w:rsidR="000370F7" w:rsidRPr="000370F7" w:rsidRDefault="000370F7" w:rsidP="006B5CC0">
            <w:pPr>
              <w:pStyle w:val="NoSpacing"/>
              <w:ind w:left="0" w:firstLine="0"/>
              <w:rPr>
                <w:b/>
              </w:rPr>
            </w:pPr>
            <w:r>
              <w:rPr>
                <w:b/>
              </w:rPr>
              <w:t>School Name</w:t>
            </w:r>
          </w:p>
        </w:tc>
        <w:tc>
          <w:tcPr>
            <w:tcW w:w="8010" w:type="dxa"/>
          </w:tcPr>
          <w:p w:rsidR="000370F7" w:rsidRDefault="000370F7" w:rsidP="006B5CC0">
            <w:pPr>
              <w:pStyle w:val="NoSpacing"/>
              <w:ind w:left="0" w:firstLine="0"/>
              <w:rPr>
                <w:b/>
              </w:rPr>
            </w:pPr>
          </w:p>
        </w:tc>
      </w:tr>
      <w:tr w:rsidR="000370F7" w:rsidTr="000370F7">
        <w:tc>
          <w:tcPr>
            <w:tcW w:w="2250" w:type="dxa"/>
          </w:tcPr>
          <w:p w:rsidR="000370F7" w:rsidRDefault="000370F7" w:rsidP="006B5CC0">
            <w:pPr>
              <w:pStyle w:val="NoSpacing"/>
              <w:ind w:left="0" w:firstLine="0"/>
              <w:rPr>
                <w:b/>
              </w:rPr>
            </w:pPr>
          </w:p>
          <w:p w:rsidR="000370F7" w:rsidRDefault="000370F7" w:rsidP="006B5CC0">
            <w:pPr>
              <w:pStyle w:val="NoSpacing"/>
              <w:ind w:left="0" w:firstLine="0"/>
              <w:rPr>
                <w:b/>
              </w:rPr>
            </w:pPr>
            <w:r>
              <w:rPr>
                <w:b/>
              </w:rPr>
              <w:t>District IRN</w:t>
            </w:r>
          </w:p>
        </w:tc>
        <w:tc>
          <w:tcPr>
            <w:tcW w:w="8010" w:type="dxa"/>
          </w:tcPr>
          <w:p w:rsidR="000370F7" w:rsidRDefault="000370F7" w:rsidP="006B5CC0">
            <w:pPr>
              <w:pStyle w:val="NoSpacing"/>
              <w:ind w:left="0" w:firstLine="0"/>
              <w:rPr>
                <w:b/>
              </w:rPr>
            </w:pPr>
          </w:p>
        </w:tc>
      </w:tr>
      <w:tr w:rsidR="000370F7" w:rsidTr="000370F7">
        <w:tc>
          <w:tcPr>
            <w:tcW w:w="2250" w:type="dxa"/>
          </w:tcPr>
          <w:p w:rsidR="000370F7" w:rsidRDefault="000370F7" w:rsidP="006B5CC0">
            <w:pPr>
              <w:pStyle w:val="NoSpacing"/>
              <w:ind w:left="0" w:firstLine="0"/>
              <w:rPr>
                <w:b/>
              </w:rPr>
            </w:pPr>
          </w:p>
          <w:p w:rsidR="000370F7" w:rsidRDefault="000370F7" w:rsidP="006B5CC0">
            <w:pPr>
              <w:pStyle w:val="NoSpacing"/>
              <w:ind w:left="0" w:firstLine="0"/>
              <w:rPr>
                <w:b/>
              </w:rPr>
            </w:pPr>
            <w:r>
              <w:rPr>
                <w:b/>
              </w:rPr>
              <w:t>School Address</w:t>
            </w:r>
          </w:p>
        </w:tc>
        <w:tc>
          <w:tcPr>
            <w:tcW w:w="8010" w:type="dxa"/>
          </w:tcPr>
          <w:p w:rsidR="000370F7" w:rsidRDefault="000370F7" w:rsidP="006B5CC0">
            <w:pPr>
              <w:pStyle w:val="NoSpacing"/>
              <w:ind w:left="0" w:firstLine="0"/>
              <w:rPr>
                <w:b/>
              </w:rPr>
            </w:pPr>
          </w:p>
        </w:tc>
      </w:tr>
      <w:tr w:rsidR="000370F7" w:rsidTr="000370F7">
        <w:tc>
          <w:tcPr>
            <w:tcW w:w="2250" w:type="dxa"/>
          </w:tcPr>
          <w:p w:rsidR="000370F7" w:rsidRDefault="000370F7" w:rsidP="006B5CC0">
            <w:pPr>
              <w:pStyle w:val="NoSpacing"/>
              <w:ind w:left="0" w:firstLine="0"/>
              <w:rPr>
                <w:b/>
              </w:rPr>
            </w:pPr>
          </w:p>
          <w:p w:rsidR="000370F7" w:rsidRDefault="000370F7" w:rsidP="006B5CC0">
            <w:pPr>
              <w:pStyle w:val="NoSpacing"/>
              <w:ind w:left="0" w:firstLine="0"/>
              <w:rPr>
                <w:b/>
              </w:rPr>
            </w:pPr>
            <w:r>
              <w:rPr>
                <w:b/>
              </w:rPr>
              <w:t>Contact</w:t>
            </w:r>
          </w:p>
        </w:tc>
        <w:tc>
          <w:tcPr>
            <w:tcW w:w="8010" w:type="dxa"/>
          </w:tcPr>
          <w:p w:rsidR="000370F7" w:rsidRDefault="000370F7" w:rsidP="006B5CC0">
            <w:pPr>
              <w:pStyle w:val="NoSpacing"/>
              <w:ind w:left="0" w:firstLine="0"/>
              <w:rPr>
                <w:b/>
              </w:rPr>
            </w:pPr>
          </w:p>
        </w:tc>
      </w:tr>
      <w:tr w:rsidR="000370F7" w:rsidTr="000370F7">
        <w:tc>
          <w:tcPr>
            <w:tcW w:w="2250" w:type="dxa"/>
          </w:tcPr>
          <w:p w:rsidR="000370F7" w:rsidRDefault="000370F7" w:rsidP="006B5CC0">
            <w:pPr>
              <w:pStyle w:val="NoSpacing"/>
              <w:ind w:left="0" w:firstLine="0"/>
              <w:rPr>
                <w:b/>
              </w:rPr>
            </w:pPr>
          </w:p>
          <w:p w:rsidR="000370F7" w:rsidRDefault="000370F7" w:rsidP="006B5CC0">
            <w:pPr>
              <w:pStyle w:val="NoSpacing"/>
              <w:ind w:left="0" w:firstLine="0"/>
              <w:rPr>
                <w:b/>
              </w:rPr>
            </w:pPr>
            <w:r>
              <w:rPr>
                <w:b/>
              </w:rPr>
              <w:t>Title</w:t>
            </w:r>
          </w:p>
        </w:tc>
        <w:tc>
          <w:tcPr>
            <w:tcW w:w="8010" w:type="dxa"/>
          </w:tcPr>
          <w:p w:rsidR="000370F7" w:rsidRDefault="000370F7" w:rsidP="006B5CC0">
            <w:pPr>
              <w:pStyle w:val="NoSpacing"/>
              <w:ind w:left="0" w:firstLine="0"/>
              <w:rPr>
                <w:b/>
              </w:rPr>
            </w:pPr>
          </w:p>
        </w:tc>
      </w:tr>
      <w:tr w:rsidR="000370F7" w:rsidTr="000370F7">
        <w:tc>
          <w:tcPr>
            <w:tcW w:w="2250" w:type="dxa"/>
          </w:tcPr>
          <w:p w:rsidR="000370F7" w:rsidRDefault="000370F7" w:rsidP="006B5CC0">
            <w:pPr>
              <w:pStyle w:val="NoSpacing"/>
              <w:ind w:left="0" w:firstLine="0"/>
              <w:rPr>
                <w:b/>
              </w:rPr>
            </w:pPr>
          </w:p>
          <w:p w:rsidR="000370F7" w:rsidRDefault="000370F7" w:rsidP="006B5CC0">
            <w:pPr>
              <w:pStyle w:val="NoSpacing"/>
              <w:ind w:left="0" w:firstLine="0"/>
              <w:rPr>
                <w:b/>
              </w:rPr>
            </w:pPr>
            <w:r>
              <w:rPr>
                <w:b/>
              </w:rPr>
              <w:t>Phone</w:t>
            </w:r>
          </w:p>
        </w:tc>
        <w:tc>
          <w:tcPr>
            <w:tcW w:w="8010" w:type="dxa"/>
          </w:tcPr>
          <w:p w:rsidR="000370F7" w:rsidRDefault="000370F7" w:rsidP="006B5CC0">
            <w:pPr>
              <w:pStyle w:val="NoSpacing"/>
              <w:ind w:left="0" w:firstLine="0"/>
              <w:rPr>
                <w:b/>
              </w:rPr>
            </w:pPr>
          </w:p>
        </w:tc>
      </w:tr>
      <w:tr w:rsidR="000370F7" w:rsidTr="000370F7">
        <w:tc>
          <w:tcPr>
            <w:tcW w:w="2250" w:type="dxa"/>
          </w:tcPr>
          <w:p w:rsidR="000370F7" w:rsidRDefault="000370F7" w:rsidP="006B5CC0">
            <w:pPr>
              <w:pStyle w:val="NoSpacing"/>
              <w:ind w:left="0" w:firstLine="0"/>
              <w:rPr>
                <w:b/>
              </w:rPr>
            </w:pPr>
          </w:p>
          <w:p w:rsidR="000370F7" w:rsidRDefault="000370F7" w:rsidP="006B5CC0">
            <w:pPr>
              <w:pStyle w:val="NoSpacing"/>
              <w:ind w:left="0" w:firstLine="0"/>
              <w:rPr>
                <w:b/>
              </w:rPr>
            </w:pPr>
            <w:r>
              <w:rPr>
                <w:b/>
              </w:rPr>
              <w:t>Email Address</w:t>
            </w:r>
          </w:p>
        </w:tc>
        <w:tc>
          <w:tcPr>
            <w:tcW w:w="8010" w:type="dxa"/>
          </w:tcPr>
          <w:p w:rsidR="000370F7" w:rsidRDefault="000370F7" w:rsidP="006B5CC0">
            <w:pPr>
              <w:pStyle w:val="NoSpacing"/>
              <w:ind w:left="0" w:firstLine="0"/>
              <w:rPr>
                <w:b/>
              </w:rPr>
            </w:pPr>
          </w:p>
        </w:tc>
      </w:tr>
      <w:tr w:rsidR="000370F7" w:rsidTr="000370F7">
        <w:tc>
          <w:tcPr>
            <w:tcW w:w="2250" w:type="dxa"/>
          </w:tcPr>
          <w:p w:rsidR="000370F7" w:rsidRDefault="000370F7" w:rsidP="006B5CC0">
            <w:pPr>
              <w:pStyle w:val="NoSpacing"/>
              <w:ind w:left="0" w:firstLine="0"/>
              <w:rPr>
                <w:b/>
              </w:rPr>
            </w:pPr>
          </w:p>
          <w:p w:rsidR="000370F7" w:rsidRDefault="000370F7" w:rsidP="006B5CC0">
            <w:pPr>
              <w:pStyle w:val="NoSpacing"/>
              <w:ind w:left="0" w:firstLine="0"/>
              <w:rPr>
                <w:b/>
              </w:rPr>
            </w:pPr>
            <w:r>
              <w:rPr>
                <w:b/>
              </w:rPr>
              <w:t>Date</w:t>
            </w:r>
          </w:p>
        </w:tc>
        <w:tc>
          <w:tcPr>
            <w:tcW w:w="8010" w:type="dxa"/>
          </w:tcPr>
          <w:p w:rsidR="000370F7" w:rsidRDefault="000370F7" w:rsidP="006B5CC0">
            <w:pPr>
              <w:pStyle w:val="NoSpacing"/>
              <w:ind w:left="0" w:firstLine="0"/>
              <w:rPr>
                <w:b/>
              </w:rPr>
            </w:pPr>
          </w:p>
        </w:tc>
      </w:tr>
    </w:tbl>
    <w:p w:rsidR="006B5CC0" w:rsidRDefault="006B5CC0" w:rsidP="006B5CC0">
      <w:pPr>
        <w:pStyle w:val="NoSpacing"/>
        <w:rPr>
          <w:b/>
        </w:rPr>
      </w:pPr>
    </w:p>
    <w:p w:rsidR="006B5CC0" w:rsidRDefault="00FC28EF" w:rsidP="006B5CC0">
      <w:pPr>
        <w:pStyle w:val="NoSpacing"/>
        <w:rPr>
          <w:b/>
        </w:rPr>
      </w:pPr>
      <w:r>
        <w:rPr>
          <w:b/>
        </w:rPr>
        <w:t xml:space="preserve"> Occupations Requested:  </w:t>
      </w:r>
    </w:p>
    <w:p w:rsidR="00FC28EF" w:rsidRDefault="00FC28EF" w:rsidP="006B5CC0">
      <w:pPr>
        <w:pStyle w:val="NoSpacing"/>
        <w:rPr>
          <w:b/>
        </w:rPr>
      </w:pPr>
    </w:p>
    <w:p w:rsidR="00FC28EF" w:rsidRDefault="00FC28EF" w:rsidP="006B5CC0">
      <w:pPr>
        <w:pStyle w:val="NoSpacing"/>
        <w:rPr>
          <w:b/>
        </w:rPr>
      </w:pPr>
    </w:p>
    <w:p w:rsidR="00FC28EF" w:rsidRDefault="00FC28EF" w:rsidP="006B5CC0">
      <w:pPr>
        <w:pStyle w:val="NoSpacing"/>
        <w:rPr>
          <w:b/>
        </w:rPr>
      </w:pPr>
    </w:p>
    <w:p w:rsidR="00FC28EF" w:rsidRDefault="00FC28EF" w:rsidP="006B5CC0">
      <w:pPr>
        <w:pStyle w:val="NoSpacing"/>
        <w:rPr>
          <w:b/>
        </w:rPr>
      </w:pPr>
    </w:p>
    <w:p w:rsidR="00FC28EF" w:rsidRDefault="00FC28EF" w:rsidP="006B5CC0">
      <w:pPr>
        <w:pStyle w:val="NoSpacing"/>
        <w:rPr>
          <w:b/>
        </w:rPr>
      </w:pPr>
    </w:p>
    <w:p w:rsidR="00FC28EF" w:rsidRDefault="00FC28EF" w:rsidP="006B5CC0">
      <w:pPr>
        <w:pStyle w:val="NoSpacing"/>
        <w:rPr>
          <w:b/>
        </w:rPr>
      </w:pPr>
      <w:r>
        <w:rPr>
          <w:b/>
        </w:rPr>
        <w:t xml:space="preserve"> Application begins on page 4 at (A) EEO</w:t>
      </w:r>
    </w:p>
    <w:p w:rsidR="006B5CC0" w:rsidRDefault="006B5CC0" w:rsidP="006B5CC0">
      <w:pPr>
        <w:pStyle w:val="NoSpacing"/>
        <w:rPr>
          <w:b/>
        </w:rPr>
      </w:pPr>
    </w:p>
    <w:p w:rsidR="00091C57" w:rsidRDefault="006B5CC0" w:rsidP="006B5CC0">
      <w:pPr>
        <w:pStyle w:val="NoSpacing"/>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13335</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990FE" id="Rectangle 1" o:spid="_x0000_s1026" style="position:absolute;margin-left:3.75pt;margin-top:1.05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" filled="f" strokecolor="#1f4d78 [1604]" strokeweight="1pt"/>
            </w:pict>
          </mc:Fallback>
        </mc:AlternateContent>
      </w:r>
      <w:r>
        <w:rPr>
          <w:b/>
        </w:rPr>
        <w:t xml:space="preserve">         Definitions and Policy attached in Exhibit A.</w:t>
      </w: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091C57" w:rsidRDefault="00091C57" w:rsidP="006B5CC0">
      <w:pPr>
        <w:pStyle w:val="NoSpacing"/>
        <w:rPr>
          <w:b/>
        </w:rPr>
      </w:pPr>
    </w:p>
    <w:p w:rsidR="006B5CC0" w:rsidRDefault="00091C57" w:rsidP="006B5CC0">
      <w:pPr>
        <w:pStyle w:val="NoSpacing"/>
      </w:pPr>
      <w:r>
        <w:rPr>
          <w:b/>
        </w:rPr>
        <w:t>September, 2018</w:t>
      </w:r>
      <w:bookmarkStart w:id="0" w:name="_GoBack"/>
      <w:bookmarkEnd w:id="0"/>
      <w:r w:rsidR="006B5CC0">
        <w:br w:type="page"/>
      </w:r>
    </w:p>
    <w:p w:rsidR="00EB7C38" w:rsidRDefault="00EB7C38">
      <w:pPr>
        <w:spacing w:line="259" w:lineRule="auto"/>
        <w:ind w:left="16"/>
        <w:jc w:val="center"/>
        <w:rPr>
          <w:b/>
        </w:rPr>
      </w:pPr>
      <w:r>
        <w:rPr>
          <w:b/>
        </w:rPr>
        <w:lastRenderedPageBreak/>
        <w:t>Exhibit A</w:t>
      </w:r>
    </w:p>
    <w:p w:rsidR="00EC2DB9" w:rsidRDefault="00A11F64">
      <w:pPr>
        <w:spacing w:line="259" w:lineRule="auto"/>
        <w:ind w:left="16"/>
        <w:jc w:val="center"/>
      </w:pPr>
      <w:r>
        <w:rPr>
          <w:b/>
        </w:rPr>
        <w:t xml:space="preserve">OHIO STATE APPRENTICESHIP COUNCIL </w:t>
      </w:r>
    </w:p>
    <w:p w:rsidR="00EC2DB9" w:rsidRDefault="00A11F64">
      <w:pPr>
        <w:spacing w:line="259" w:lineRule="auto"/>
        <w:ind w:left="16"/>
        <w:jc w:val="center"/>
      </w:pPr>
      <w:r>
        <w:rPr>
          <w:b/>
        </w:rPr>
        <w:t xml:space="preserve">POLICY ON PRE-APPRENTICESHIP </w:t>
      </w:r>
    </w:p>
    <w:p w:rsidR="00EC2DB9" w:rsidRDefault="00A11F64">
      <w:pPr>
        <w:spacing w:line="259" w:lineRule="auto"/>
        <w:ind w:left="0" w:firstLine="0"/>
      </w:pPr>
      <w:r>
        <w:rPr>
          <w:b/>
        </w:rPr>
        <w:t xml:space="preserve"> </w:t>
      </w:r>
    </w:p>
    <w:p w:rsidR="00EC2DB9" w:rsidRDefault="00A11F64">
      <w:pPr>
        <w:pStyle w:val="Heading1"/>
        <w:ind w:left="-5"/>
      </w:pPr>
      <w:r>
        <w:t>DEFINITIONS</w:t>
      </w:r>
    </w:p>
    <w:p w:rsidR="00EC2DB9" w:rsidRDefault="00A11F64">
      <w:pPr>
        <w:spacing w:line="259" w:lineRule="auto"/>
        <w:ind w:left="0" w:firstLine="0"/>
      </w:pPr>
      <w:r>
        <w:t xml:space="preserve"> </w:t>
      </w:r>
    </w:p>
    <w:p w:rsidR="00EC2DB9" w:rsidRDefault="00A11F64">
      <w:pPr>
        <w:numPr>
          <w:ilvl w:val="0"/>
          <w:numId w:val="1"/>
        </w:numPr>
        <w:ind w:hanging="475"/>
      </w:pPr>
      <w:r>
        <w:t xml:space="preserve">“Apprentice” means a person at least sixteen years of age, except where a higher minimum age standard is otherwise fixed by law, who is participating in a registered apprenticeship program to learn a skilled occupation, pursuant to a registered apprenticeship agreement. </w:t>
      </w:r>
    </w:p>
    <w:p w:rsidR="00EC2DB9" w:rsidRDefault="00A11F64">
      <w:pPr>
        <w:spacing w:line="259" w:lineRule="auto"/>
        <w:ind w:left="0" w:firstLine="0"/>
      </w:pPr>
      <w:r>
        <w:t xml:space="preserve"> </w:t>
      </w:r>
    </w:p>
    <w:p w:rsidR="00EC2DB9" w:rsidRDefault="00A11F64">
      <w:pPr>
        <w:numPr>
          <w:ilvl w:val="0"/>
          <w:numId w:val="1"/>
        </w:numPr>
        <w:ind w:hanging="475"/>
      </w:pPr>
      <w:r>
        <w:t xml:space="preserve">“Apprenticeable occupation,” means one which : </w:t>
      </w:r>
    </w:p>
    <w:p w:rsidR="00EC2DB9" w:rsidRDefault="00A11F64">
      <w:pPr>
        <w:numPr>
          <w:ilvl w:val="1"/>
          <w:numId w:val="1"/>
        </w:numPr>
        <w:ind w:hanging="490"/>
      </w:pPr>
      <w:r>
        <w:t xml:space="preserve">Is customarily learned in a practical way through a structured, systematic program of supervised training on the job; </w:t>
      </w:r>
    </w:p>
    <w:p w:rsidR="00EC2DB9" w:rsidRDefault="00A11F64">
      <w:pPr>
        <w:numPr>
          <w:ilvl w:val="1"/>
          <w:numId w:val="1"/>
        </w:numPr>
        <w:ind w:hanging="490"/>
      </w:pPr>
      <w:r>
        <w:t xml:space="preserve">Is clearly identified and commonly recognized or accepted throughout an industry; </w:t>
      </w:r>
    </w:p>
    <w:p w:rsidR="00EC2DB9" w:rsidRDefault="00A11F64">
      <w:pPr>
        <w:numPr>
          <w:ilvl w:val="1"/>
          <w:numId w:val="1"/>
        </w:numPr>
        <w:ind w:hanging="490"/>
      </w:pPr>
      <w:r>
        <w:t xml:space="preserve">Requires two thousand or more hours of work experience to learn; </w:t>
      </w:r>
    </w:p>
    <w:p w:rsidR="00EC2DB9" w:rsidRDefault="00A11F64">
      <w:pPr>
        <w:numPr>
          <w:ilvl w:val="1"/>
          <w:numId w:val="1"/>
        </w:numPr>
        <w:ind w:hanging="490"/>
      </w:pPr>
      <w:r>
        <w:t xml:space="preserve">Requires related instruction to supplement the on-the-job experience training; </w:t>
      </w:r>
    </w:p>
    <w:p w:rsidR="00EC2DB9" w:rsidRDefault="00A11F64">
      <w:pPr>
        <w:numPr>
          <w:ilvl w:val="1"/>
          <w:numId w:val="1"/>
        </w:numPr>
        <w:ind w:hanging="490"/>
      </w:pPr>
      <w:r>
        <w:t xml:space="preserve">Involves manual, mechanical, and/or technical skills applicable in like occupations throughout an industry; and </w:t>
      </w:r>
    </w:p>
    <w:p w:rsidR="00EC2DB9" w:rsidRDefault="00A11F64">
      <w:pPr>
        <w:numPr>
          <w:ilvl w:val="1"/>
          <w:numId w:val="1"/>
        </w:numPr>
        <w:ind w:hanging="490"/>
      </w:pPr>
      <w:r>
        <w:t xml:space="preserve">Is recognized by the registration entity and/or the US office of apprenticeship as meeting the foregoing five criteria. </w:t>
      </w:r>
    </w:p>
    <w:p w:rsidR="00EC2DB9" w:rsidRDefault="00A11F64">
      <w:pPr>
        <w:spacing w:line="259" w:lineRule="auto"/>
        <w:ind w:left="0" w:firstLine="0"/>
      </w:pPr>
      <w:r>
        <w:t xml:space="preserve"> </w:t>
      </w:r>
    </w:p>
    <w:p w:rsidR="00EC2DB9" w:rsidRDefault="00A11F64">
      <w:pPr>
        <w:numPr>
          <w:ilvl w:val="0"/>
          <w:numId w:val="1"/>
        </w:numPr>
        <w:ind w:hanging="475"/>
      </w:pPr>
      <w:r>
        <w:t xml:space="preserve">“Apprenticeship program” means a program that is registered by a registration agency and that combines on-the-job training and related technical instruction, according to the specifications established by parts 29 and 30 of 29 CFR,     and as further established in Ohio under division 5101:11 of the Administrative Code, such requirements being designed to ensure a high level of program quality and accountability, supported by state and federal administrative oversight. This model of training does not correspond to activities designated as “apprenticeship” in other divisions of the Administrative Code, except where programs are stipulated that are registered pursuant to division-level designation 5101:11 of the Administrative Code. </w:t>
      </w:r>
    </w:p>
    <w:p w:rsidR="00EC2DB9" w:rsidRDefault="00A11F64">
      <w:pPr>
        <w:spacing w:line="259" w:lineRule="auto"/>
        <w:ind w:left="0" w:firstLine="0"/>
      </w:pPr>
      <w:r>
        <w:t xml:space="preserve"> </w:t>
      </w:r>
    </w:p>
    <w:p w:rsidR="00EC2DB9" w:rsidRDefault="00A11F64">
      <w:pPr>
        <w:numPr>
          <w:ilvl w:val="0"/>
          <w:numId w:val="1"/>
        </w:numPr>
        <w:ind w:hanging="475"/>
      </w:pPr>
      <w:r>
        <w:t xml:space="preserve">“Apprenticeship sponsor” means any organization operating a Registered Apprenticeship program and in whose name the program is registered. A sponsor is characterized as either “individual” (comprising a single employer and/or a union representing its employees) or “group” (including multiple employers and/or a union or association with which they are affiliated), and in both cases as either “joint” (assigning program operations to a committee equally representing labor and management) or “non-joint” (not involving such a committee). For the purposes of this policy “Apprenticeship Sponsor” may also mean a consortium of Registered Apprenticeship sponsors organized around an occupational sector or a specific occupation. </w:t>
      </w:r>
    </w:p>
    <w:p w:rsidR="00EC2DB9" w:rsidRDefault="00A11F64">
      <w:pPr>
        <w:spacing w:line="259" w:lineRule="auto"/>
        <w:ind w:left="0" w:firstLine="0"/>
      </w:pPr>
      <w:r>
        <w:t xml:space="preserve"> </w:t>
      </w:r>
    </w:p>
    <w:p w:rsidR="00EC2DB9" w:rsidRDefault="00A11F64">
      <w:pPr>
        <w:numPr>
          <w:ilvl w:val="0"/>
          <w:numId w:val="1"/>
        </w:numPr>
        <w:ind w:hanging="475"/>
      </w:pPr>
      <w:r>
        <w:t xml:space="preserve">“Council” or “OSAC” means the Ohio State Apprenticeship Council, created under section 4139.02 of the Revised Code. </w:t>
      </w:r>
    </w:p>
    <w:p w:rsidR="00EC2DB9" w:rsidRDefault="00A11F64">
      <w:pPr>
        <w:spacing w:line="259" w:lineRule="auto"/>
        <w:ind w:left="0" w:firstLine="0"/>
      </w:pPr>
      <w:r>
        <w:t xml:space="preserve"> </w:t>
      </w:r>
    </w:p>
    <w:p w:rsidR="00EC2DB9" w:rsidRDefault="00A11F64">
      <w:pPr>
        <w:numPr>
          <w:ilvl w:val="0"/>
          <w:numId w:val="1"/>
        </w:numPr>
        <w:ind w:hanging="475"/>
      </w:pPr>
      <w:r>
        <w:t xml:space="preserve">“National apprenticeship system” means the combined set of all registered apprenticeship programs nationwide, those organizations that provide service to such programs, and the government agencies at various geographic levels that oversee such programs. </w:t>
      </w:r>
    </w:p>
    <w:p w:rsidR="00EC2DB9" w:rsidRDefault="00A11F64">
      <w:pPr>
        <w:spacing w:line="259" w:lineRule="auto"/>
        <w:ind w:left="0" w:firstLine="0"/>
      </w:pPr>
      <w:r>
        <w:t xml:space="preserve"> </w:t>
      </w:r>
    </w:p>
    <w:p w:rsidR="00EC2DB9" w:rsidRDefault="00A11F64">
      <w:pPr>
        <w:numPr>
          <w:ilvl w:val="0"/>
          <w:numId w:val="1"/>
        </w:numPr>
        <w:ind w:hanging="475"/>
      </w:pPr>
      <w:r>
        <w:t xml:space="preserve">“Internship” means a system of gaining on-the-job experience by placement in a work environment for a period of over one week. Interns are employed in the production methodology associated with the specific occupations and are supervised at all times by a worker that is considered an expert in the specific occupation. A primary goal of internship is to build both technical and job awareness skills. Internships may be paid or unpaid. </w:t>
      </w:r>
    </w:p>
    <w:p w:rsidR="00EC2DB9" w:rsidRDefault="00A11F64">
      <w:pPr>
        <w:spacing w:line="259" w:lineRule="auto"/>
        <w:ind w:left="0" w:firstLine="0"/>
      </w:pPr>
      <w:r>
        <w:t xml:space="preserve"> </w:t>
      </w:r>
    </w:p>
    <w:p w:rsidR="00EC2DB9" w:rsidRDefault="00A11F64">
      <w:pPr>
        <w:numPr>
          <w:ilvl w:val="0"/>
          <w:numId w:val="1"/>
        </w:numPr>
        <w:ind w:hanging="475"/>
      </w:pPr>
      <w:r>
        <w:lastRenderedPageBreak/>
        <w:t xml:space="preserve">“Job Shadowing” means a system of gaining on the job knowledge through observation. Those job shadowing are assigned to a work environment where the production methodology associated with the specific occupation is ongoing. Those job shadowing are not employed in the production process, but gain knowledge of the occupation through observation. Job shadowing experiences will not extend beyond one week for a </w:t>
      </w:r>
    </w:p>
    <w:p w:rsidR="00EC2DB9" w:rsidRDefault="00A11F64">
      <w:pPr>
        <w:ind w:left="485"/>
      </w:pPr>
      <w:r>
        <w:t xml:space="preserve">single site assignment. Job shadowing participants are unpaid.     </w:t>
      </w:r>
    </w:p>
    <w:p w:rsidR="00EC2DB9" w:rsidRDefault="00A11F64">
      <w:pPr>
        <w:spacing w:line="259" w:lineRule="auto"/>
        <w:ind w:left="0" w:firstLine="0"/>
      </w:pPr>
      <w:r>
        <w:t xml:space="preserve"> </w:t>
      </w:r>
    </w:p>
    <w:p w:rsidR="00EC2DB9" w:rsidRDefault="00A11F64">
      <w:pPr>
        <w:numPr>
          <w:ilvl w:val="0"/>
          <w:numId w:val="1"/>
        </w:numPr>
        <w:ind w:hanging="475"/>
      </w:pPr>
      <w:r>
        <w:rPr>
          <w:b/>
        </w:rPr>
        <w:t>“</w:t>
      </w:r>
      <w:r>
        <w:rPr>
          <w:b/>
          <w:u w:val="single" w:color="000000"/>
        </w:rPr>
        <w:t>Pre-apprenticeship operating plan</w:t>
      </w:r>
      <w:r>
        <w:rPr>
          <w:b/>
        </w:rPr>
        <w:t>”</w:t>
      </w:r>
      <w:r>
        <w:t xml:space="preserve"> means a written plan describing a pre-apprenticeship program in terms of the requirements for state recognition that are specified by the OSAC Policy on Pre-Apprenticeship. </w:t>
      </w:r>
    </w:p>
    <w:p w:rsidR="00EC2DB9" w:rsidRDefault="00A11F64">
      <w:pPr>
        <w:spacing w:line="259" w:lineRule="auto"/>
        <w:ind w:left="0" w:firstLine="0"/>
      </w:pPr>
      <w:r>
        <w:t xml:space="preserve"> </w:t>
      </w:r>
    </w:p>
    <w:p w:rsidR="00EC2DB9" w:rsidRDefault="00A11F64">
      <w:pPr>
        <w:numPr>
          <w:ilvl w:val="0"/>
          <w:numId w:val="1"/>
        </w:numPr>
        <w:ind w:hanging="475"/>
      </w:pPr>
      <w:r>
        <w:rPr>
          <w:b/>
          <w:u w:val="single" w:color="000000"/>
        </w:rPr>
        <w:t>“Pre-apprenticeship program</w:t>
      </w:r>
      <w:r>
        <w:rPr>
          <w:b/>
        </w:rPr>
        <w:t>”</w:t>
      </w:r>
      <w:r>
        <w:t xml:space="preserve"> means a program that teaches basic technical and job-readiness skills for a designated apprenticeable occupation or occupational sector, to prepare participants for Registered </w:t>
      </w:r>
    </w:p>
    <w:p w:rsidR="00EC2DB9" w:rsidRDefault="00A11F64">
      <w:pPr>
        <w:ind w:left="485"/>
      </w:pPr>
      <w:r>
        <w:t xml:space="preserve">Apprenticeship training. The term refers particularly to a program that receives recognition under the OSAC Policy on Pre-apprenticeship. </w:t>
      </w:r>
    </w:p>
    <w:p w:rsidR="008B097D" w:rsidRDefault="00A11F64">
      <w:pPr>
        <w:ind w:left="460" w:hanging="475"/>
      </w:pPr>
      <w:r>
        <w:t xml:space="preserve"> </w:t>
      </w:r>
      <w:r>
        <w:tab/>
      </w:r>
    </w:p>
    <w:p w:rsidR="00EC2DB9" w:rsidRDefault="00A11F64" w:rsidP="008B097D">
      <w:pPr>
        <w:ind w:left="460" w:firstLine="0"/>
      </w:pPr>
      <w:r>
        <w:t xml:space="preserve">Pre-apprenticeship normally features a classroom and/or lab setting, but may also involve work-site visits, job-shadowing, or other activities outside the program facility, to provide exposure to the work environment for the targeted occupation(s).  The model for pre-apprenticeship training varies depending on the targeted group recruited for training.  Basic categories include: </w:t>
      </w:r>
    </w:p>
    <w:p w:rsidR="00EC2DB9" w:rsidRDefault="00A11F64">
      <w:pPr>
        <w:numPr>
          <w:ilvl w:val="1"/>
          <w:numId w:val="1"/>
        </w:numPr>
        <w:ind w:hanging="490"/>
      </w:pPr>
      <w:r>
        <w:rPr>
          <w:b/>
          <w:u w:val="single" w:color="000000"/>
        </w:rPr>
        <w:t>Youth Pre-Apprenticeship</w:t>
      </w:r>
      <w:r>
        <w:rPr>
          <w:b/>
        </w:rPr>
        <w:t xml:space="preserve"> </w:t>
      </w:r>
      <w:r>
        <w:t xml:space="preserve">-- A pre-apprenticeship program that primarily serves trainees under the age of 21. Youth Pre-Apprenticeship can have various institutional frameworks, depending on which segment of youth are served. </w:t>
      </w:r>
    </w:p>
    <w:p w:rsidR="00EC2DB9" w:rsidRDefault="00A11F64">
      <w:pPr>
        <w:numPr>
          <w:ilvl w:val="2"/>
          <w:numId w:val="1"/>
        </w:numPr>
        <w:ind w:hanging="476"/>
      </w:pPr>
      <w:r>
        <w:t xml:space="preserve">Students who are still in school, may receive pre-apprenticeship training through a collaboration between their school and Registered Apprenticeship sponsors that provide exposure to the work environment. </w:t>
      </w:r>
    </w:p>
    <w:p w:rsidR="00EC2DB9" w:rsidRDefault="00A11F64">
      <w:pPr>
        <w:numPr>
          <w:ilvl w:val="2"/>
          <w:numId w:val="1"/>
        </w:numPr>
        <w:ind w:hanging="476"/>
      </w:pPr>
      <w:r>
        <w:t xml:space="preserve">Programs for out-of-school youth are often sponsored by community or faith based organizations in partnership with Registered Apprenticeship sponsors that address the behavioral, economic, and other barriers to employment of youth who do not have a clear career path. These programs provide a work experience for participants through the Registered Apprenticeship sponsor partner. </w:t>
      </w:r>
    </w:p>
    <w:p w:rsidR="00EC2DB9" w:rsidRDefault="00A11F64">
      <w:pPr>
        <w:numPr>
          <w:ilvl w:val="1"/>
          <w:numId w:val="1"/>
        </w:numPr>
        <w:ind w:hanging="490"/>
      </w:pPr>
      <w:r>
        <w:rPr>
          <w:b/>
          <w:u w:val="single" w:color="000000"/>
        </w:rPr>
        <w:t>Adult Pre-Apprenticeship</w:t>
      </w:r>
      <w:r>
        <w:rPr>
          <w:b/>
        </w:rPr>
        <w:t xml:space="preserve"> </w:t>
      </w:r>
      <w:r>
        <w:t xml:space="preserve">-- A pre-apprenticeship program which has a Registered Apprenticeship sponsor as a principal partner and primarily serves trainees who are 21 and older. Program designs will differ from those of youth pre-apprenticeship, in that they involve adults’ learning styles and their distinct life situations -- including often the challenges of being unemployed and having family responsibilities.  Within these parameters, training models will vary by target group. </w:t>
      </w:r>
    </w:p>
    <w:p w:rsidR="00EC2DB9" w:rsidRDefault="00A11F64">
      <w:pPr>
        <w:numPr>
          <w:ilvl w:val="2"/>
          <w:numId w:val="1"/>
        </w:numPr>
        <w:ind w:hanging="476"/>
      </w:pPr>
      <w:r>
        <w:t xml:space="preserve">Dislocated workers generally have a satisfactory work and training record and often can move relatively fast into a new occupational field with minimal technical preparation. </w:t>
      </w:r>
    </w:p>
    <w:p w:rsidR="00EC2DB9" w:rsidRDefault="00A11F64">
      <w:pPr>
        <w:numPr>
          <w:ilvl w:val="2"/>
          <w:numId w:val="1"/>
        </w:numPr>
        <w:ind w:hanging="476"/>
      </w:pPr>
      <w:r>
        <w:t xml:space="preserve">Long-term unemployed workers may lack some of the behavioral skills and/or confidence needed for progress on a career path. </w:t>
      </w:r>
    </w:p>
    <w:p w:rsidR="00EC2DB9" w:rsidRDefault="00A11F64">
      <w:pPr>
        <w:spacing w:line="259" w:lineRule="auto"/>
        <w:ind w:left="0" w:firstLine="0"/>
      </w:pPr>
      <w:r>
        <w:t xml:space="preserve"> </w:t>
      </w:r>
    </w:p>
    <w:p w:rsidR="00EC2DB9" w:rsidRDefault="00A11F64">
      <w:pPr>
        <w:numPr>
          <w:ilvl w:val="0"/>
          <w:numId w:val="1"/>
        </w:numPr>
        <w:ind w:hanging="475"/>
      </w:pPr>
      <w:r>
        <w:rPr>
          <w:b/>
          <w:u w:val="single" w:color="000000"/>
        </w:rPr>
        <w:t>“Pre-apprenticeship training provider</w:t>
      </w:r>
      <w:r>
        <w:rPr>
          <w:b/>
        </w:rPr>
        <w:t>”</w:t>
      </w:r>
      <w:r>
        <w:t xml:space="preserve"> means any organization or partnership that operates a pre</w:t>
      </w:r>
      <w:r w:rsidR="00EB7C38">
        <w:t>-</w:t>
      </w:r>
      <w:r>
        <w:t xml:space="preserve">apprenticeship program recognized by the council as meeting its criteria for safety and quality under the council’s Policy on Pre-Apprenticeship. </w:t>
      </w:r>
    </w:p>
    <w:p w:rsidR="00EC2DB9" w:rsidRDefault="00EC2DB9">
      <w:pPr>
        <w:spacing w:line="259" w:lineRule="auto"/>
        <w:ind w:left="0" w:firstLine="0"/>
      </w:pPr>
    </w:p>
    <w:p w:rsidR="00EC2DB9" w:rsidRPr="00543210" w:rsidRDefault="00A11F64" w:rsidP="00543210">
      <w:pPr>
        <w:pStyle w:val="Heading1"/>
        <w:ind w:left="0" w:firstLine="0"/>
        <w:rPr>
          <w:color w:val="auto"/>
        </w:rPr>
      </w:pPr>
      <w:r w:rsidRPr="00543210">
        <w:rPr>
          <w:color w:val="auto"/>
        </w:rPr>
        <w:t>COUNCIL RECOGNITION</w:t>
      </w:r>
    </w:p>
    <w:p w:rsidR="00EC2DB9" w:rsidRPr="00543210" w:rsidRDefault="00A11F64">
      <w:pPr>
        <w:spacing w:line="259" w:lineRule="auto"/>
        <w:ind w:left="0" w:firstLine="0"/>
        <w:rPr>
          <w:color w:val="auto"/>
        </w:rPr>
      </w:pPr>
      <w:r w:rsidRPr="00543210">
        <w:rPr>
          <w:color w:val="auto"/>
        </w:rPr>
        <w:t xml:space="preserve"> </w:t>
      </w:r>
    </w:p>
    <w:p w:rsidR="00EC2DB9" w:rsidRPr="00543210" w:rsidRDefault="00A11F64">
      <w:pPr>
        <w:ind w:left="-5"/>
        <w:rPr>
          <w:color w:val="auto"/>
        </w:rPr>
      </w:pPr>
      <w:r w:rsidRPr="00543210">
        <w:rPr>
          <w:color w:val="auto"/>
        </w:rPr>
        <w:t xml:space="preserve">The State of Ohio is committed to facilitating its citizens’ access to the proven advantages of Registered </w:t>
      </w:r>
    </w:p>
    <w:p w:rsidR="00EC2DB9" w:rsidRPr="00543210" w:rsidRDefault="00A11F64">
      <w:pPr>
        <w:ind w:left="-5"/>
        <w:rPr>
          <w:color w:val="auto"/>
        </w:rPr>
      </w:pPr>
      <w:r w:rsidRPr="00543210">
        <w:rPr>
          <w:color w:val="auto"/>
        </w:rPr>
        <w:t xml:space="preserve">Apprenticeship training.  Quality pre-apprenticeship programs can provide an important bridge to apprenticeship for Ohioans who may lack the skills or experience, but not the motivation, to take that step on their career path. </w:t>
      </w:r>
    </w:p>
    <w:p w:rsidR="00EC2DB9" w:rsidRPr="00543210" w:rsidRDefault="00A11F64">
      <w:pPr>
        <w:spacing w:line="259" w:lineRule="auto"/>
        <w:ind w:left="0" w:firstLine="0"/>
        <w:rPr>
          <w:color w:val="auto"/>
        </w:rPr>
      </w:pPr>
      <w:r w:rsidRPr="00543210">
        <w:rPr>
          <w:color w:val="auto"/>
        </w:rPr>
        <w:t xml:space="preserve"> </w:t>
      </w:r>
    </w:p>
    <w:p w:rsidR="00543210" w:rsidRDefault="00543210">
      <w:pPr>
        <w:ind w:left="-5"/>
        <w:rPr>
          <w:color w:val="auto"/>
        </w:rPr>
      </w:pPr>
    </w:p>
    <w:p w:rsidR="00543210" w:rsidRDefault="00543210">
      <w:pPr>
        <w:ind w:left="-5"/>
        <w:rPr>
          <w:color w:val="auto"/>
        </w:rPr>
      </w:pPr>
    </w:p>
    <w:p w:rsidR="00EC2DB9" w:rsidRPr="00543210" w:rsidRDefault="00A11F64">
      <w:pPr>
        <w:ind w:left="-5"/>
        <w:rPr>
          <w:color w:val="auto"/>
        </w:rPr>
      </w:pPr>
      <w:r w:rsidRPr="00543210">
        <w:rPr>
          <w:color w:val="auto"/>
        </w:rPr>
        <w:t xml:space="preserve">Though pre-apprenticeship training is not subject to laws governing the Registered Apprenticeship system, it has a direct effect on stakeholders in that system.  For the benefit of those stakeholders -- the workers, employers, and apprenticeship sponsors of Ohio -- the OSAC establishes the following means to identify and publicly recognize quality pre-apprenticeship training. </w:t>
      </w:r>
    </w:p>
    <w:p w:rsidR="00EC2DB9" w:rsidRPr="00543210" w:rsidRDefault="00A11F64">
      <w:pPr>
        <w:spacing w:line="259" w:lineRule="auto"/>
        <w:ind w:left="0" w:firstLine="0"/>
        <w:rPr>
          <w:color w:val="auto"/>
        </w:rPr>
      </w:pPr>
      <w:r w:rsidRPr="00543210">
        <w:rPr>
          <w:color w:val="auto"/>
        </w:rPr>
        <w:t xml:space="preserve"> </w:t>
      </w:r>
    </w:p>
    <w:p w:rsidR="00EC2DB9" w:rsidRPr="00884E4A" w:rsidRDefault="00A11F64">
      <w:pPr>
        <w:pStyle w:val="Heading1"/>
        <w:ind w:left="-5"/>
        <w:rPr>
          <w:color w:val="0000FF"/>
        </w:rPr>
      </w:pPr>
      <w:r w:rsidRPr="00884E4A">
        <w:rPr>
          <w:color w:val="0000FF"/>
        </w:rPr>
        <w:t>Eligibility for Recognition</w:t>
      </w:r>
    </w:p>
    <w:p w:rsidR="00EC2DB9" w:rsidRPr="00884E4A" w:rsidRDefault="00A11F64">
      <w:pPr>
        <w:spacing w:line="259" w:lineRule="auto"/>
        <w:ind w:left="0" w:firstLine="0"/>
        <w:rPr>
          <w:color w:val="0000FF"/>
        </w:rPr>
      </w:pPr>
      <w:r w:rsidRPr="00884E4A">
        <w:rPr>
          <w:color w:val="0000FF"/>
        </w:rPr>
        <w:t xml:space="preserve"> </w:t>
      </w:r>
    </w:p>
    <w:p w:rsidR="00EC2DB9" w:rsidRPr="00884E4A" w:rsidRDefault="00A11F64">
      <w:pPr>
        <w:ind w:left="-5"/>
        <w:rPr>
          <w:color w:val="0000FF"/>
        </w:rPr>
      </w:pPr>
      <w:r w:rsidRPr="00884E4A">
        <w:rPr>
          <w:color w:val="0000FF"/>
        </w:rPr>
        <w:t xml:space="preserve">To obtain OSAC recognition for quality training, a pre-apprenticeship provider must receive council approval for an operating plan that describes the program’s objectives and practices, and demonstrates conformity with the following criteria. </w:t>
      </w:r>
    </w:p>
    <w:p w:rsidR="00EC2DB9" w:rsidRPr="00543210" w:rsidRDefault="00A11F64">
      <w:pPr>
        <w:spacing w:line="259" w:lineRule="auto"/>
        <w:ind w:left="0" w:firstLine="0"/>
        <w:rPr>
          <w:color w:val="auto"/>
        </w:rPr>
      </w:pPr>
      <w:r w:rsidRPr="00543210">
        <w:rPr>
          <w:color w:val="auto"/>
        </w:rPr>
        <w:t xml:space="preserve"> </w:t>
      </w:r>
    </w:p>
    <w:p w:rsidR="00EC2DB9" w:rsidRPr="00884E4A" w:rsidRDefault="00A11F64">
      <w:pPr>
        <w:numPr>
          <w:ilvl w:val="0"/>
          <w:numId w:val="2"/>
        </w:numPr>
        <w:ind w:hanging="476"/>
        <w:rPr>
          <w:color w:val="0000FF"/>
        </w:rPr>
      </w:pPr>
      <w:r w:rsidRPr="00884E4A">
        <w:rPr>
          <w:color w:val="0000FF"/>
        </w:rPr>
        <w:t xml:space="preserve">EEO -- The plan must contain the equal opportunity pledge defined in OAC 5101:11 for Registered </w:t>
      </w:r>
    </w:p>
    <w:p w:rsidR="00EC2DB9" w:rsidRPr="00884E4A" w:rsidRDefault="00A11F64">
      <w:pPr>
        <w:ind w:left="485"/>
        <w:rPr>
          <w:color w:val="0000FF"/>
        </w:rPr>
      </w:pPr>
      <w:r w:rsidRPr="00884E4A">
        <w:rPr>
          <w:color w:val="0000FF"/>
        </w:rPr>
        <w:t xml:space="preserve">Apprenticeship programs, as applied to trainees of the applicant program, and must also include provisions for ensuring fairness in recruitment, selection, and treatment of trainees. </w:t>
      </w:r>
      <w:r w:rsidR="00EB7C38" w:rsidRPr="00884E4A">
        <w:rPr>
          <w:color w:val="0000FF"/>
        </w:rPr>
        <w:t xml:space="preserve"> Schools may use their own EEO Statement or OSAC’s EEO statement (OAC 5101.11).</w:t>
      </w:r>
    </w:p>
    <w:p w:rsidR="00EC2DB9" w:rsidRPr="00884E4A" w:rsidRDefault="00A11F64">
      <w:pPr>
        <w:spacing w:line="259" w:lineRule="auto"/>
        <w:ind w:left="0" w:firstLine="0"/>
        <w:rPr>
          <w:color w:val="0000FF"/>
        </w:rPr>
      </w:pPr>
      <w:r w:rsidRPr="00884E4A">
        <w:rPr>
          <w:color w:val="0000FF"/>
        </w:rPr>
        <w:t xml:space="preserve"> </w:t>
      </w:r>
    </w:p>
    <w:p w:rsidR="00EC2DB9" w:rsidRPr="00884E4A" w:rsidRDefault="00A11F64">
      <w:pPr>
        <w:numPr>
          <w:ilvl w:val="0"/>
          <w:numId w:val="2"/>
        </w:numPr>
        <w:ind w:hanging="476"/>
        <w:rPr>
          <w:color w:val="0000FF"/>
        </w:rPr>
      </w:pPr>
      <w:r w:rsidRPr="00884E4A">
        <w:rPr>
          <w:color w:val="0000FF"/>
        </w:rPr>
        <w:t xml:space="preserve">Enrollment -- The operating plan must state the criteria for eligibility to enroll in the program, and describe the application, selection, and enrollment procedures. All methods used in, and leading to, the selection of applicants for pre-apprenticeship, shall be applied consistently and fairly, and shall be subject to approval by the council. </w:t>
      </w:r>
    </w:p>
    <w:p w:rsidR="00EC2DB9" w:rsidRPr="00884E4A" w:rsidRDefault="00A11F64">
      <w:pPr>
        <w:spacing w:line="259" w:lineRule="auto"/>
        <w:ind w:left="0" w:firstLine="0"/>
        <w:rPr>
          <w:color w:val="0000FF"/>
        </w:rPr>
      </w:pPr>
      <w:r w:rsidRPr="00884E4A">
        <w:rPr>
          <w:color w:val="0000FF"/>
        </w:rPr>
        <w:t xml:space="preserve"> </w:t>
      </w:r>
    </w:p>
    <w:p w:rsidR="00EC2DB9" w:rsidRPr="00884E4A" w:rsidRDefault="00A11F64">
      <w:pPr>
        <w:numPr>
          <w:ilvl w:val="0"/>
          <w:numId w:val="2"/>
        </w:numPr>
        <w:ind w:hanging="476"/>
        <w:rPr>
          <w:color w:val="0000FF"/>
        </w:rPr>
      </w:pPr>
      <w:r w:rsidRPr="00884E4A">
        <w:rPr>
          <w:color w:val="0000FF"/>
        </w:rPr>
        <w:t xml:space="preserve">Instructional content -- The operating plan shall describe the details of training, to include: </w:t>
      </w:r>
    </w:p>
    <w:p w:rsidR="00EC2DB9" w:rsidRPr="00884E4A" w:rsidRDefault="00A11F64">
      <w:pPr>
        <w:numPr>
          <w:ilvl w:val="1"/>
          <w:numId w:val="2"/>
        </w:numPr>
        <w:ind w:hanging="490"/>
        <w:rPr>
          <w:color w:val="0000FF"/>
        </w:rPr>
      </w:pPr>
      <w:r w:rsidRPr="00884E4A">
        <w:rPr>
          <w:color w:val="0000FF"/>
        </w:rPr>
        <w:t xml:space="preserve">the apprenticeable occupation(s) or occupational sector(s) for which participants will be trained;  </w:t>
      </w:r>
    </w:p>
    <w:p w:rsidR="00EC2DB9" w:rsidRPr="00884E4A" w:rsidRDefault="00A11F64">
      <w:pPr>
        <w:numPr>
          <w:ilvl w:val="1"/>
          <w:numId w:val="2"/>
        </w:numPr>
        <w:ind w:hanging="490"/>
        <w:rPr>
          <w:color w:val="0000FF"/>
        </w:rPr>
      </w:pPr>
      <w:r w:rsidRPr="00884E4A">
        <w:rPr>
          <w:color w:val="0000FF"/>
        </w:rPr>
        <w:t xml:space="preserve">a definition of progressive stages of training and criteria for enrollment at any of those stages; </w:t>
      </w:r>
    </w:p>
    <w:p w:rsidR="00EC2DB9" w:rsidRPr="00884E4A" w:rsidRDefault="00A11F64">
      <w:pPr>
        <w:numPr>
          <w:ilvl w:val="1"/>
          <w:numId w:val="2"/>
        </w:numPr>
        <w:ind w:hanging="490"/>
        <w:rPr>
          <w:color w:val="0000FF"/>
        </w:rPr>
      </w:pPr>
      <w:r w:rsidRPr="00884E4A">
        <w:rPr>
          <w:color w:val="0000FF"/>
        </w:rPr>
        <w:t xml:space="preserve">a procedure for periodically evaluating each pre-apprentice’s progress in the program, including his/her performance in work activities and related instruction, and for keeping adequate records of this progress. </w:t>
      </w:r>
    </w:p>
    <w:p w:rsidR="00EC2DB9" w:rsidRPr="00884E4A" w:rsidRDefault="00A11F64">
      <w:pPr>
        <w:numPr>
          <w:ilvl w:val="1"/>
          <w:numId w:val="2"/>
        </w:numPr>
        <w:ind w:hanging="490"/>
        <w:rPr>
          <w:color w:val="0000FF"/>
        </w:rPr>
      </w:pPr>
      <w:r w:rsidRPr="00884E4A">
        <w:rPr>
          <w:color w:val="0000FF"/>
        </w:rPr>
        <w:t xml:space="preserve">an instructional design that: </w:t>
      </w:r>
    </w:p>
    <w:p w:rsidR="00EC2DB9" w:rsidRPr="00884E4A" w:rsidRDefault="00A11F64">
      <w:pPr>
        <w:numPr>
          <w:ilvl w:val="2"/>
          <w:numId w:val="2"/>
        </w:numPr>
        <w:ind w:hanging="476"/>
        <w:rPr>
          <w:color w:val="0000FF"/>
        </w:rPr>
      </w:pPr>
      <w:r w:rsidRPr="00884E4A">
        <w:rPr>
          <w:color w:val="0000FF"/>
        </w:rPr>
        <w:t xml:space="preserve">is aligned with prevailing industry standards for the targeted occupation(s); </w:t>
      </w:r>
    </w:p>
    <w:p w:rsidR="00EC2DB9" w:rsidRPr="00884E4A" w:rsidRDefault="00A11F64">
      <w:pPr>
        <w:numPr>
          <w:ilvl w:val="2"/>
          <w:numId w:val="2"/>
        </w:numPr>
        <w:ind w:hanging="476"/>
        <w:rPr>
          <w:color w:val="0000FF"/>
        </w:rPr>
      </w:pPr>
      <w:r w:rsidRPr="00884E4A">
        <w:rPr>
          <w:color w:val="0000FF"/>
        </w:rPr>
        <w:t xml:space="preserve">specifies the competencies that the program will impart, categorized by type (e.g., basic academic, technical, job-readiness, etc.) and defined in terms of the Knowledge, Skills, Abilities (KSA) framework; </w:t>
      </w:r>
    </w:p>
    <w:p w:rsidR="00EC2DB9" w:rsidRPr="00884E4A" w:rsidRDefault="00A11F64">
      <w:pPr>
        <w:numPr>
          <w:ilvl w:val="2"/>
          <w:numId w:val="2"/>
        </w:numPr>
        <w:ind w:hanging="476"/>
        <w:rPr>
          <w:color w:val="0000FF"/>
        </w:rPr>
      </w:pPr>
      <w:r w:rsidRPr="00884E4A">
        <w:rPr>
          <w:color w:val="0000FF"/>
        </w:rPr>
        <w:t xml:space="preserve">describes the basic format(s) of instruction, with a general break-down by practical instruction </w:t>
      </w:r>
    </w:p>
    <w:p w:rsidR="00EC2DB9" w:rsidRPr="00884E4A" w:rsidRDefault="00A11F64" w:rsidP="00EB7C38">
      <w:pPr>
        <w:ind w:left="1450" w:firstLine="466"/>
        <w:rPr>
          <w:color w:val="0000FF"/>
        </w:rPr>
      </w:pPr>
      <w:r w:rsidRPr="00884E4A">
        <w:rPr>
          <w:color w:val="0000FF"/>
        </w:rPr>
        <w:t xml:space="preserve">(hands-on, work experience, labs, etc.) and theoretical instruction (classroom, reading, etc.); </w:t>
      </w:r>
    </w:p>
    <w:p w:rsidR="00EC2DB9" w:rsidRPr="00884E4A" w:rsidRDefault="00A11F64">
      <w:pPr>
        <w:numPr>
          <w:ilvl w:val="2"/>
          <w:numId w:val="2"/>
        </w:numPr>
        <w:ind w:hanging="476"/>
        <w:rPr>
          <w:color w:val="0000FF"/>
        </w:rPr>
      </w:pPr>
      <w:r w:rsidRPr="00884E4A">
        <w:rPr>
          <w:color w:val="0000FF"/>
        </w:rPr>
        <w:t xml:space="preserve">presents an evaluation methodology detailing the selection and use of skill assessment tools to be used before, during, and at the end of training; </w:t>
      </w:r>
    </w:p>
    <w:p w:rsidR="00EC2DB9" w:rsidRPr="00884E4A" w:rsidRDefault="00A11F64">
      <w:pPr>
        <w:numPr>
          <w:ilvl w:val="2"/>
          <w:numId w:val="2"/>
        </w:numPr>
        <w:ind w:hanging="476"/>
        <w:rPr>
          <w:color w:val="0000FF"/>
        </w:rPr>
      </w:pPr>
      <w:r w:rsidRPr="00884E4A">
        <w:rPr>
          <w:color w:val="0000FF"/>
        </w:rPr>
        <w:t xml:space="preserve">describes a formal means of imparting structured work experience to the program participants in the occupations or occupational sectors addressed by the program. This work experience shall be delivered through paid or unpaid internships. In situations where clearly defined safety issues are recognized, and with the permission of Council, an extensive job-shadowing experience may be permitted in lieu of internship. This experience will be managed by a Registered Apprenticeship sponsor.   </w:t>
      </w:r>
    </w:p>
    <w:p w:rsidR="00EC2DB9" w:rsidRPr="00884E4A" w:rsidRDefault="00A11F64">
      <w:pPr>
        <w:numPr>
          <w:ilvl w:val="2"/>
          <w:numId w:val="2"/>
        </w:numPr>
        <w:ind w:hanging="476"/>
        <w:rPr>
          <w:color w:val="0000FF"/>
        </w:rPr>
      </w:pPr>
      <w:r w:rsidRPr="00884E4A">
        <w:rPr>
          <w:color w:val="0000FF"/>
        </w:rPr>
        <w:t xml:space="preserve">In youth programs is developed in collaboration with Registered Apprenticeship sponsors and with curriculum experts of the Ohio Department of Education (for in school youth) and/or University System of Ohio (USO) (for out of school youth). </w:t>
      </w:r>
    </w:p>
    <w:p w:rsidR="00EC2DB9" w:rsidRPr="00884E4A" w:rsidRDefault="00A11F64">
      <w:pPr>
        <w:numPr>
          <w:ilvl w:val="2"/>
          <w:numId w:val="2"/>
        </w:numPr>
        <w:ind w:hanging="476"/>
        <w:rPr>
          <w:color w:val="0000FF"/>
        </w:rPr>
      </w:pPr>
      <w:r w:rsidRPr="00884E4A">
        <w:rPr>
          <w:color w:val="0000FF"/>
        </w:rPr>
        <w:t xml:space="preserve">In adult programs is developed in collaboration with Registered Apprenticeship sponsors and with curriculum experts of the University System of Ohio. </w:t>
      </w:r>
    </w:p>
    <w:p w:rsidR="00EC2DB9" w:rsidRPr="00884E4A" w:rsidRDefault="00A11F64">
      <w:pPr>
        <w:spacing w:line="259" w:lineRule="auto"/>
        <w:ind w:left="0" w:firstLine="0"/>
        <w:rPr>
          <w:color w:val="0000FF"/>
        </w:rPr>
      </w:pPr>
      <w:r w:rsidRPr="00884E4A">
        <w:rPr>
          <w:color w:val="0000FF"/>
        </w:rPr>
        <w:t xml:space="preserve"> </w:t>
      </w:r>
    </w:p>
    <w:p w:rsidR="00EC2DB9" w:rsidRPr="00884E4A" w:rsidRDefault="00A11F64">
      <w:pPr>
        <w:numPr>
          <w:ilvl w:val="0"/>
          <w:numId w:val="2"/>
        </w:numPr>
        <w:ind w:hanging="476"/>
        <w:rPr>
          <w:color w:val="0000FF"/>
        </w:rPr>
      </w:pPr>
      <w:r w:rsidRPr="00884E4A">
        <w:rPr>
          <w:color w:val="0000FF"/>
        </w:rPr>
        <w:lastRenderedPageBreak/>
        <w:t xml:space="preserve">Participant status -- The operating plan shall provide clear procedures for reporting to the council regarding pre-apprentices in the program, including: </w:t>
      </w:r>
    </w:p>
    <w:p w:rsidR="00EC2DB9" w:rsidRPr="00884E4A" w:rsidRDefault="00A11F64">
      <w:pPr>
        <w:numPr>
          <w:ilvl w:val="1"/>
          <w:numId w:val="2"/>
        </w:numPr>
        <w:ind w:hanging="490"/>
        <w:rPr>
          <w:color w:val="0000FF"/>
        </w:rPr>
      </w:pPr>
      <w:r w:rsidRPr="00884E4A">
        <w:rPr>
          <w:color w:val="0000FF"/>
        </w:rPr>
        <w:t xml:space="preserve">information about each trainee at the point of enrollment, including name, age, education level, and in what stage of training the individual will be placed; </w:t>
      </w:r>
    </w:p>
    <w:p w:rsidR="00EC2DB9" w:rsidRPr="00884E4A" w:rsidRDefault="00A11F64">
      <w:pPr>
        <w:numPr>
          <w:ilvl w:val="1"/>
          <w:numId w:val="2"/>
        </w:numPr>
        <w:ind w:hanging="490"/>
        <w:rPr>
          <w:color w:val="0000FF"/>
        </w:rPr>
      </w:pPr>
      <w:r w:rsidRPr="00884E4A">
        <w:rPr>
          <w:color w:val="0000FF"/>
        </w:rPr>
        <w:t xml:space="preserve">notice of each trainee’s exit from the program, along with their training status (completed, suspended, or canceled before completion); </w:t>
      </w:r>
    </w:p>
    <w:p w:rsidR="00EC2DB9" w:rsidRPr="00884E4A" w:rsidRDefault="00A11F64">
      <w:pPr>
        <w:numPr>
          <w:ilvl w:val="1"/>
          <w:numId w:val="2"/>
        </w:numPr>
        <w:ind w:hanging="490"/>
        <w:rPr>
          <w:color w:val="0000FF"/>
        </w:rPr>
      </w:pPr>
      <w:r w:rsidRPr="00884E4A">
        <w:rPr>
          <w:color w:val="0000FF"/>
        </w:rPr>
        <w:t xml:space="preserve">documentation of skill attainments in the program, based on the progressive stages outlined in the details of training. </w:t>
      </w:r>
    </w:p>
    <w:p w:rsidR="00EC2DB9" w:rsidRPr="00884E4A" w:rsidRDefault="00A11F64">
      <w:pPr>
        <w:spacing w:line="259" w:lineRule="auto"/>
        <w:ind w:left="0" w:firstLine="0"/>
        <w:rPr>
          <w:color w:val="0000FF"/>
        </w:rPr>
      </w:pPr>
      <w:r w:rsidRPr="00884E4A">
        <w:rPr>
          <w:color w:val="0000FF"/>
        </w:rPr>
        <w:t xml:space="preserve"> </w:t>
      </w:r>
    </w:p>
    <w:p w:rsidR="00EC2DB9" w:rsidRPr="00884E4A" w:rsidRDefault="00A11F64">
      <w:pPr>
        <w:numPr>
          <w:ilvl w:val="0"/>
          <w:numId w:val="2"/>
        </w:numPr>
        <w:ind w:hanging="476"/>
        <w:rPr>
          <w:color w:val="0000FF"/>
        </w:rPr>
      </w:pPr>
      <w:r w:rsidRPr="00884E4A">
        <w:rPr>
          <w:color w:val="0000FF"/>
        </w:rPr>
        <w:t xml:space="preserve">Safety and welfare -- The plan shall state specific provisions for training all pre-apprentices in safety practices appropriate to their occupation(s), and for ensuring that all equipment and facilities used in the program are adequate and safe. </w:t>
      </w:r>
    </w:p>
    <w:p w:rsidR="00EC2DB9" w:rsidRPr="00884E4A" w:rsidRDefault="00A11F64">
      <w:pPr>
        <w:spacing w:line="259" w:lineRule="auto"/>
        <w:ind w:left="0" w:firstLine="0"/>
        <w:rPr>
          <w:color w:val="0000FF"/>
        </w:rPr>
      </w:pPr>
      <w:r w:rsidRPr="00884E4A">
        <w:rPr>
          <w:color w:val="0000FF"/>
        </w:rPr>
        <w:t xml:space="preserve"> </w:t>
      </w:r>
    </w:p>
    <w:p w:rsidR="00EC2DB9" w:rsidRPr="00884E4A" w:rsidRDefault="00A11F64">
      <w:pPr>
        <w:numPr>
          <w:ilvl w:val="0"/>
          <w:numId w:val="2"/>
        </w:numPr>
        <w:ind w:hanging="476"/>
        <w:rPr>
          <w:color w:val="0000FF"/>
        </w:rPr>
      </w:pPr>
      <w:r w:rsidRPr="00884E4A">
        <w:rPr>
          <w:color w:val="0000FF"/>
        </w:rPr>
        <w:t xml:space="preserve">Program administration -- The plan shall include: </w:t>
      </w:r>
    </w:p>
    <w:p w:rsidR="00EC2DB9" w:rsidRPr="00884E4A" w:rsidRDefault="00A11F64">
      <w:pPr>
        <w:numPr>
          <w:ilvl w:val="1"/>
          <w:numId w:val="2"/>
        </w:numPr>
        <w:ind w:hanging="490"/>
        <w:rPr>
          <w:color w:val="0000FF"/>
        </w:rPr>
      </w:pPr>
      <w:r w:rsidRPr="00884E4A">
        <w:rPr>
          <w:color w:val="0000FF"/>
        </w:rPr>
        <w:t xml:space="preserve">the official name and contact information for the provider organization; </w:t>
      </w:r>
    </w:p>
    <w:p w:rsidR="00EC2DB9" w:rsidRPr="00884E4A" w:rsidRDefault="00A11F64">
      <w:pPr>
        <w:numPr>
          <w:ilvl w:val="1"/>
          <w:numId w:val="2"/>
        </w:numPr>
        <w:ind w:hanging="490"/>
        <w:rPr>
          <w:color w:val="0000FF"/>
        </w:rPr>
      </w:pPr>
      <w:r w:rsidRPr="00884E4A">
        <w:rPr>
          <w:color w:val="0000FF"/>
        </w:rPr>
        <w:t xml:space="preserve">the name, title, and contact information for the person authorized to represent the program provider in matters relating to state recognition. </w:t>
      </w:r>
    </w:p>
    <w:p w:rsidR="00EC2DB9" w:rsidRPr="00884E4A" w:rsidRDefault="00A11F64">
      <w:pPr>
        <w:spacing w:line="259" w:lineRule="auto"/>
        <w:ind w:left="0" w:firstLine="0"/>
        <w:rPr>
          <w:color w:val="0000FF"/>
        </w:rPr>
      </w:pPr>
      <w:r w:rsidRPr="00884E4A">
        <w:rPr>
          <w:color w:val="0000FF"/>
        </w:rPr>
        <w:t xml:space="preserve"> </w:t>
      </w:r>
    </w:p>
    <w:p w:rsidR="00543210" w:rsidRPr="00884E4A" w:rsidRDefault="00A11F64" w:rsidP="00543210">
      <w:pPr>
        <w:numPr>
          <w:ilvl w:val="0"/>
          <w:numId w:val="2"/>
        </w:numPr>
        <w:ind w:left="540" w:hanging="476"/>
        <w:rPr>
          <w:color w:val="0000FF"/>
        </w:rPr>
      </w:pPr>
      <w:r w:rsidRPr="00884E4A">
        <w:rPr>
          <w:color w:val="0000FF"/>
        </w:rPr>
        <w:t>Linkage -- The plan shall include a statement attesting to and describing a process of ongoing collaboration between the program and Registered Apprenticeship sponsors in the relevant occu</w:t>
      </w:r>
      <w:r w:rsidR="00543210" w:rsidRPr="00884E4A">
        <w:rPr>
          <w:color w:val="0000FF"/>
        </w:rPr>
        <w:t>pation(s) for the purpose of:</w:t>
      </w:r>
    </w:p>
    <w:p w:rsidR="00EC2DB9" w:rsidRPr="00884E4A" w:rsidRDefault="00A11F64" w:rsidP="00543210">
      <w:pPr>
        <w:ind w:left="1080" w:hanging="360"/>
        <w:rPr>
          <w:color w:val="0000FF"/>
        </w:rPr>
      </w:pPr>
      <w:r w:rsidRPr="00884E4A">
        <w:rPr>
          <w:color w:val="0000FF"/>
        </w:rPr>
        <w:t xml:space="preserve">(1) ensuring the relevance of pre-apprenticeship instruction to the skill expectations of current Registered Apprenticeship programs; </w:t>
      </w:r>
    </w:p>
    <w:p w:rsidR="00EC2DB9" w:rsidRPr="00884E4A" w:rsidRDefault="00A11F64" w:rsidP="00543210">
      <w:pPr>
        <w:tabs>
          <w:tab w:val="center" w:pos="5214"/>
        </w:tabs>
        <w:ind w:left="630" w:firstLine="0"/>
        <w:rPr>
          <w:color w:val="0000FF"/>
        </w:rPr>
      </w:pPr>
      <w:r w:rsidRPr="00884E4A">
        <w:rPr>
          <w:color w:val="0000FF"/>
        </w:rPr>
        <w:t xml:space="preserve"> </w:t>
      </w:r>
      <w:r w:rsidRPr="00884E4A">
        <w:rPr>
          <w:color w:val="0000FF"/>
        </w:rPr>
        <w:tab/>
        <w:t xml:space="preserve">(2) familiarizing pre-apprentices with the procedures for entering and completing such programs. </w:t>
      </w:r>
    </w:p>
    <w:p w:rsidR="00EC2DB9" w:rsidRPr="00884E4A" w:rsidRDefault="00A11F64" w:rsidP="00543210">
      <w:pPr>
        <w:tabs>
          <w:tab w:val="center" w:pos="5534"/>
        </w:tabs>
        <w:ind w:left="990" w:hanging="1005"/>
        <w:rPr>
          <w:color w:val="0000FF"/>
        </w:rPr>
      </w:pPr>
      <w:r w:rsidRPr="00884E4A">
        <w:rPr>
          <w:color w:val="0000FF"/>
        </w:rPr>
        <w:t xml:space="preserve"> </w:t>
      </w:r>
      <w:r w:rsidRPr="00884E4A">
        <w:rPr>
          <w:color w:val="0000FF"/>
        </w:rPr>
        <w:tab/>
        <w:t xml:space="preserve">This statement shall be signed by the authorized representative of the Registered Apprenticeship sponsor. </w:t>
      </w:r>
    </w:p>
    <w:p w:rsidR="00EC2DB9" w:rsidRPr="00543210" w:rsidRDefault="00A11F64">
      <w:pPr>
        <w:spacing w:line="259" w:lineRule="auto"/>
        <w:ind w:left="0" w:firstLine="0"/>
        <w:rPr>
          <w:color w:val="auto"/>
        </w:rPr>
      </w:pPr>
      <w:r w:rsidRPr="00543210">
        <w:rPr>
          <w:color w:val="auto"/>
        </w:rPr>
        <w:t xml:space="preserve"> </w:t>
      </w:r>
    </w:p>
    <w:p w:rsidR="00EC2DB9" w:rsidRPr="00543210" w:rsidRDefault="00A11F64">
      <w:pPr>
        <w:pStyle w:val="Heading1"/>
        <w:ind w:left="-5"/>
        <w:rPr>
          <w:color w:val="auto"/>
        </w:rPr>
      </w:pPr>
      <w:r w:rsidRPr="00543210">
        <w:rPr>
          <w:color w:val="auto"/>
        </w:rPr>
        <w:t>Recognition Procedure</w:t>
      </w:r>
      <w:r w:rsidRPr="00543210">
        <w:rPr>
          <w:color w:val="auto"/>
          <w:u w:val="none"/>
        </w:rPr>
        <w:t xml:space="preserve"> </w:t>
      </w:r>
    </w:p>
    <w:p w:rsidR="00EC2DB9" w:rsidRPr="00543210" w:rsidRDefault="00A11F64">
      <w:pPr>
        <w:spacing w:line="259" w:lineRule="auto"/>
        <w:ind w:left="0" w:firstLine="0"/>
        <w:rPr>
          <w:color w:val="auto"/>
        </w:rPr>
      </w:pPr>
      <w:r w:rsidRPr="00543210">
        <w:rPr>
          <w:color w:val="auto"/>
        </w:rPr>
        <w:t xml:space="preserve"> </w:t>
      </w:r>
    </w:p>
    <w:p w:rsidR="00EC2DB9" w:rsidRPr="00543210" w:rsidRDefault="00A11F64">
      <w:pPr>
        <w:numPr>
          <w:ilvl w:val="0"/>
          <w:numId w:val="3"/>
        </w:numPr>
        <w:ind w:hanging="475"/>
        <w:rPr>
          <w:color w:val="auto"/>
        </w:rPr>
      </w:pPr>
      <w:r w:rsidRPr="00543210">
        <w:rPr>
          <w:color w:val="auto"/>
        </w:rPr>
        <w:t xml:space="preserve">An organization seeking program recognition shall provide the council with copies of its proposed operating plan. </w:t>
      </w:r>
    </w:p>
    <w:p w:rsidR="00EC2DB9" w:rsidRPr="00543210" w:rsidRDefault="00A11F64">
      <w:pPr>
        <w:spacing w:line="259" w:lineRule="auto"/>
        <w:ind w:left="0" w:firstLine="0"/>
        <w:rPr>
          <w:color w:val="auto"/>
        </w:rPr>
      </w:pPr>
      <w:r w:rsidRPr="00543210">
        <w:rPr>
          <w:color w:val="auto"/>
        </w:rPr>
        <w:t xml:space="preserve"> </w:t>
      </w:r>
    </w:p>
    <w:p w:rsidR="00EC2DB9" w:rsidRPr="00543210" w:rsidRDefault="00A11F64">
      <w:pPr>
        <w:numPr>
          <w:ilvl w:val="0"/>
          <w:numId w:val="3"/>
        </w:numPr>
        <w:ind w:hanging="475"/>
        <w:rPr>
          <w:color w:val="auto"/>
        </w:rPr>
      </w:pPr>
      <w:r w:rsidRPr="00543210">
        <w:rPr>
          <w:color w:val="auto"/>
        </w:rPr>
        <w:t xml:space="preserve">The council shall record every program recognition. </w:t>
      </w:r>
    </w:p>
    <w:p w:rsidR="00EC2DB9" w:rsidRPr="00543210" w:rsidRDefault="00A11F64">
      <w:pPr>
        <w:spacing w:line="259" w:lineRule="auto"/>
        <w:ind w:left="0" w:firstLine="0"/>
        <w:rPr>
          <w:color w:val="auto"/>
        </w:rPr>
      </w:pPr>
      <w:r w:rsidRPr="00543210">
        <w:rPr>
          <w:color w:val="auto"/>
        </w:rPr>
        <w:t xml:space="preserve"> </w:t>
      </w:r>
    </w:p>
    <w:p w:rsidR="00EC2DB9" w:rsidRPr="00543210" w:rsidRDefault="00A11F64">
      <w:pPr>
        <w:numPr>
          <w:ilvl w:val="0"/>
          <w:numId w:val="3"/>
        </w:numPr>
        <w:ind w:hanging="475"/>
        <w:rPr>
          <w:color w:val="auto"/>
        </w:rPr>
      </w:pPr>
      <w:r w:rsidRPr="00543210">
        <w:rPr>
          <w:color w:val="auto"/>
        </w:rPr>
        <w:t xml:space="preserve">Any modification or change to a recognized program shall be promptly submitted to the council and, if approved, shall be acknowledged and recorded as an amendment to such program. </w:t>
      </w:r>
    </w:p>
    <w:p w:rsidR="007813B2" w:rsidRPr="00543210" w:rsidRDefault="007813B2" w:rsidP="007813B2">
      <w:pPr>
        <w:pStyle w:val="ListParagraph"/>
        <w:rPr>
          <w:color w:val="auto"/>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Pr="00F10DB1" w:rsidRDefault="00F10DB1" w:rsidP="007813B2">
      <w:pPr>
        <w:ind w:left="0" w:firstLine="0"/>
        <w:rPr>
          <w:color w:val="auto"/>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F10DB1" w:rsidRDefault="00F10DB1" w:rsidP="007813B2">
      <w:pPr>
        <w:ind w:left="0" w:firstLine="0"/>
        <w:rPr>
          <w:b/>
          <w:color w:val="auto"/>
          <w:u w:val="single"/>
        </w:rPr>
      </w:pPr>
    </w:p>
    <w:p w:rsidR="007813B2" w:rsidRDefault="007813B2" w:rsidP="007813B2">
      <w:pPr>
        <w:ind w:left="0" w:firstLine="0"/>
        <w:rPr>
          <w:b/>
          <w:color w:val="auto"/>
        </w:rPr>
      </w:pPr>
      <w:r w:rsidRPr="008B097D">
        <w:rPr>
          <w:b/>
          <w:color w:val="auto"/>
          <w:u w:val="single"/>
        </w:rPr>
        <w:t>Questions</w:t>
      </w:r>
      <w:r w:rsidR="00F10DB1">
        <w:rPr>
          <w:b/>
          <w:color w:val="auto"/>
          <w:u w:val="single"/>
        </w:rPr>
        <w:t xml:space="preserve"> - </w:t>
      </w:r>
      <w:r w:rsidRPr="008B097D">
        <w:rPr>
          <w:b/>
          <w:color w:val="auto"/>
          <w:u w:val="single"/>
        </w:rPr>
        <w:t xml:space="preserve"> </w:t>
      </w:r>
      <w:r w:rsidR="00F10DB1">
        <w:rPr>
          <w:b/>
          <w:color w:val="auto"/>
          <w:u w:val="single"/>
        </w:rPr>
        <w:t>Contact Your local ApprenticeOhio Representative:</w:t>
      </w:r>
      <w:r w:rsidRPr="008B097D">
        <w:rPr>
          <w:b/>
          <w:color w:val="auto"/>
        </w:rPr>
        <w:t xml:space="preserve">    </w:t>
      </w:r>
    </w:p>
    <w:p w:rsidR="00F10DB1" w:rsidRDefault="00F10DB1" w:rsidP="007813B2">
      <w:pPr>
        <w:ind w:left="0" w:firstLine="0"/>
        <w:rPr>
          <w:b/>
          <w:color w:val="auto"/>
        </w:rPr>
      </w:pPr>
    </w:p>
    <w:tbl>
      <w:tblPr>
        <w:tblW w:w="0" w:type="auto"/>
        <w:tblInd w:w="92" w:type="dxa"/>
        <w:tblLayout w:type="fixed"/>
        <w:tblCellMar>
          <w:left w:w="0" w:type="dxa"/>
          <w:right w:w="0" w:type="dxa"/>
        </w:tblCellMar>
        <w:tblLook w:val="0000" w:firstRow="0" w:lastRow="0" w:firstColumn="0" w:lastColumn="0" w:noHBand="0" w:noVBand="0"/>
      </w:tblPr>
      <w:tblGrid>
        <w:gridCol w:w="2216"/>
        <w:gridCol w:w="1639"/>
        <w:gridCol w:w="4156"/>
        <w:gridCol w:w="3111"/>
        <w:gridCol w:w="2268"/>
      </w:tblGrid>
      <w:tr w:rsidR="00F10DB1" w:rsidRPr="00F10DB1">
        <w:tblPrEx>
          <w:tblCellMar>
            <w:top w:w="0" w:type="dxa"/>
            <w:left w:w="0" w:type="dxa"/>
            <w:bottom w:w="0" w:type="dxa"/>
            <w:right w:w="0" w:type="dxa"/>
          </w:tblCellMar>
        </w:tblPrEx>
        <w:trPr>
          <w:trHeight w:val="800"/>
        </w:trPr>
        <w:tc>
          <w:tcPr>
            <w:tcW w:w="13390" w:type="dxa"/>
            <w:gridSpan w:val="5"/>
            <w:tcBorders>
              <w:top w:val="single" w:sz="8" w:space="0" w:color="000000"/>
              <w:left w:val="single" w:sz="8" w:space="0" w:color="000000"/>
              <w:bottom w:val="single" w:sz="8" w:space="0" w:color="000000"/>
              <w:right w:val="single" w:sz="8" w:space="0" w:color="000000"/>
            </w:tcBorders>
            <w:shd w:val="clear" w:color="auto" w:fill="FFD966"/>
          </w:tcPr>
          <w:p w:rsidR="00F10DB1" w:rsidRPr="00F10DB1" w:rsidRDefault="00F10DB1" w:rsidP="00F10DB1">
            <w:pPr>
              <w:kinsoku w:val="0"/>
              <w:overflowPunct w:val="0"/>
              <w:autoSpaceDE w:val="0"/>
              <w:autoSpaceDN w:val="0"/>
              <w:adjustRightInd w:val="0"/>
              <w:spacing w:before="123" w:line="240" w:lineRule="auto"/>
              <w:ind w:left="4286" w:right="4286" w:firstLine="0"/>
              <w:jc w:val="center"/>
              <w:rPr>
                <w:rFonts w:ascii="Calibri" w:eastAsiaTheme="minorEastAsia" w:hAnsi="Calibri" w:cs="Calibri"/>
                <w:b/>
                <w:bCs/>
                <w:color w:val="auto"/>
                <w:sz w:val="30"/>
                <w:szCs w:val="30"/>
              </w:rPr>
            </w:pPr>
            <w:r w:rsidRPr="00F10DB1">
              <w:rPr>
                <w:rFonts w:ascii="Calibri" w:eastAsiaTheme="minorEastAsia" w:hAnsi="Calibri" w:cs="Calibri"/>
                <w:b/>
                <w:bCs/>
                <w:color w:val="auto"/>
                <w:sz w:val="30"/>
                <w:szCs w:val="30"/>
              </w:rPr>
              <w:t>Apprenticeship Area Service Providers</w:t>
            </w:r>
          </w:p>
          <w:p w:rsidR="00F10DB1" w:rsidRPr="00F10DB1" w:rsidRDefault="00F10DB1" w:rsidP="00F10DB1">
            <w:pPr>
              <w:kinsoku w:val="0"/>
              <w:overflowPunct w:val="0"/>
              <w:autoSpaceDE w:val="0"/>
              <w:autoSpaceDN w:val="0"/>
              <w:adjustRightInd w:val="0"/>
              <w:spacing w:before="21" w:line="240" w:lineRule="auto"/>
              <w:ind w:left="4286" w:right="4282"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Rev August 11, 2017</w:t>
            </w:r>
          </w:p>
        </w:tc>
      </w:tr>
      <w:tr w:rsidR="00F10DB1" w:rsidRPr="00F10DB1">
        <w:tblPrEx>
          <w:tblCellMar>
            <w:top w:w="0" w:type="dxa"/>
            <w:left w:w="0" w:type="dxa"/>
            <w:bottom w:w="0" w:type="dxa"/>
            <w:right w:w="0" w:type="dxa"/>
          </w:tblCellMar>
        </w:tblPrEx>
        <w:trPr>
          <w:trHeight w:val="280"/>
        </w:trPr>
        <w:tc>
          <w:tcPr>
            <w:tcW w:w="2216"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before="14" w:line="265" w:lineRule="exact"/>
              <w:ind w:left="787" w:right="771" w:firstLine="0"/>
              <w:jc w:val="center"/>
              <w:rPr>
                <w:rFonts w:ascii="Calibri" w:eastAsiaTheme="minorEastAsia" w:hAnsi="Calibri" w:cs="Calibri"/>
                <w:b/>
                <w:bCs/>
                <w:color w:val="auto"/>
                <w:w w:val="105"/>
                <w:sz w:val="23"/>
                <w:szCs w:val="23"/>
              </w:rPr>
            </w:pPr>
            <w:r w:rsidRPr="00F10DB1">
              <w:rPr>
                <w:rFonts w:ascii="Calibri" w:eastAsiaTheme="minorEastAsia" w:hAnsi="Calibri" w:cs="Calibri"/>
                <w:b/>
                <w:bCs/>
                <w:color w:val="auto"/>
                <w:w w:val="105"/>
                <w:sz w:val="23"/>
                <w:szCs w:val="23"/>
              </w:rPr>
              <w:t>Name</w:t>
            </w:r>
          </w:p>
        </w:tc>
        <w:tc>
          <w:tcPr>
            <w:tcW w:w="1639"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before="14" w:line="265" w:lineRule="exact"/>
              <w:ind w:left="205" w:right="188" w:firstLine="0"/>
              <w:jc w:val="center"/>
              <w:rPr>
                <w:rFonts w:ascii="Calibri" w:eastAsiaTheme="minorEastAsia" w:hAnsi="Calibri" w:cs="Calibri"/>
                <w:b/>
                <w:bCs/>
                <w:color w:val="auto"/>
                <w:w w:val="105"/>
                <w:sz w:val="23"/>
                <w:szCs w:val="23"/>
              </w:rPr>
            </w:pPr>
            <w:r w:rsidRPr="00F10DB1">
              <w:rPr>
                <w:rFonts w:ascii="Calibri" w:eastAsiaTheme="minorEastAsia" w:hAnsi="Calibri" w:cs="Calibri"/>
                <w:b/>
                <w:bCs/>
                <w:color w:val="auto"/>
                <w:w w:val="105"/>
                <w:sz w:val="23"/>
                <w:szCs w:val="23"/>
              </w:rPr>
              <w:t>HQ location</w:t>
            </w:r>
          </w:p>
        </w:tc>
        <w:tc>
          <w:tcPr>
            <w:tcW w:w="4156"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before="14" w:line="265" w:lineRule="exact"/>
              <w:ind w:left="91" w:right="77" w:firstLine="0"/>
              <w:jc w:val="center"/>
              <w:rPr>
                <w:rFonts w:ascii="Calibri" w:eastAsiaTheme="minorEastAsia" w:hAnsi="Calibri" w:cs="Calibri"/>
                <w:b/>
                <w:bCs/>
                <w:color w:val="auto"/>
                <w:w w:val="105"/>
                <w:sz w:val="23"/>
                <w:szCs w:val="23"/>
              </w:rPr>
            </w:pPr>
            <w:r w:rsidRPr="00F10DB1">
              <w:rPr>
                <w:rFonts w:ascii="Calibri" w:eastAsiaTheme="minorEastAsia" w:hAnsi="Calibri" w:cs="Calibri"/>
                <w:b/>
                <w:bCs/>
                <w:color w:val="auto"/>
                <w:w w:val="105"/>
                <w:sz w:val="23"/>
                <w:szCs w:val="23"/>
              </w:rPr>
              <w:t>Coverage area</w:t>
            </w:r>
          </w:p>
        </w:tc>
        <w:tc>
          <w:tcPr>
            <w:tcW w:w="3111"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before="14" w:line="265" w:lineRule="exact"/>
              <w:ind w:left="205" w:right="188" w:firstLine="0"/>
              <w:jc w:val="center"/>
              <w:rPr>
                <w:rFonts w:ascii="Calibri" w:eastAsiaTheme="minorEastAsia" w:hAnsi="Calibri" w:cs="Calibri"/>
                <w:b/>
                <w:bCs/>
                <w:color w:val="auto"/>
                <w:w w:val="105"/>
                <w:sz w:val="23"/>
                <w:szCs w:val="23"/>
              </w:rPr>
            </w:pPr>
            <w:r w:rsidRPr="00F10DB1">
              <w:rPr>
                <w:rFonts w:ascii="Calibri" w:eastAsiaTheme="minorEastAsia" w:hAnsi="Calibri" w:cs="Calibri"/>
                <w:b/>
                <w:bCs/>
                <w:color w:val="auto"/>
                <w:w w:val="105"/>
                <w:sz w:val="23"/>
                <w:szCs w:val="23"/>
              </w:rPr>
              <w:t>Email</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before="14" w:line="265" w:lineRule="exact"/>
              <w:ind w:left="552" w:right="539" w:firstLine="0"/>
              <w:jc w:val="center"/>
              <w:rPr>
                <w:rFonts w:ascii="Calibri" w:eastAsiaTheme="minorEastAsia" w:hAnsi="Calibri" w:cs="Calibri"/>
                <w:b/>
                <w:bCs/>
                <w:color w:val="auto"/>
                <w:w w:val="105"/>
                <w:sz w:val="23"/>
                <w:szCs w:val="23"/>
              </w:rPr>
            </w:pPr>
            <w:r w:rsidRPr="00F10DB1">
              <w:rPr>
                <w:rFonts w:ascii="Calibri" w:eastAsiaTheme="minorEastAsia" w:hAnsi="Calibri" w:cs="Calibri"/>
                <w:b/>
                <w:bCs/>
                <w:color w:val="auto"/>
                <w:w w:val="105"/>
                <w:sz w:val="23"/>
                <w:szCs w:val="23"/>
              </w:rPr>
              <w:t>Phone</w:t>
            </w:r>
          </w:p>
        </w:tc>
      </w:tr>
      <w:tr w:rsidR="00F10DB1" w:rsidRPr="00F10DB1">
        <w:tblPrEx>
          <w:tblCellMar>
            <w:top w:w="0" w:type="dxa"/>
            <w:left w:w="0" w:type="dxa"/>
            <w:bottom w:w="0" w:type="dxa"/>
            <w:right w:w="0" w:type="dxa"/>
          </w:tblCellMar>
        </w:tblPrEx>
        <w:trPr>
          <w:trHeight w:val="104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Jeanette McClain</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00"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Toledo PC/CC</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2" w:line="261" w:lineRule="auto"/>
              <w:ind w:left="91" w:right="90"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Region 1 - Williams, Defiance, Paulding, Fulton, Henry, Putnam, Allen, Lucas, Wood, Hancock, Wyandot, Seneca, Sandusky, Ottawa, Erie,</w:t>
            </w:r>
          </w:p>
          <w:p w:rsidR="00F10DB1" w:rsidRPr="00F10DB1" w:rsidRDefault="00F10DB1" w:rsidP="00F10DB1">
            <w:pPr>
              <w:kinsoku w:val="0"/>
              <w:overflowPunct w:val="0"/>
              <w:autoSpaceDE w:val="0"/>
              <w:autoSpaceDN w:val="0"/>
              <w:adjustRightInd w:val="0"/>
              <w:spacing w:line="226" w:lineRule="exact"/>
              <w:ind w:left="91" w:right="89"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Huron, Lorain</w:t>
            </w: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8"/>
                <w:szCs w:val="18"/>
              </w:rPr>
            </w:pPr>
          </w:p>
          <w:p w:rsidR="00F10DB1" w:rsidRPr="00F10DB1" w:rsidRDefault="00F10DB1" w:rsidP="00F10DB1">
            <w:pPr>
              <w:kinsoku w:val="0"/>
              <w:overflowPunct w:val="0"/>
              <w:autoSpaceDE w:val="0"/>
              <w:autoSpaceDN w:val="0"/>
              <w:adjustRightInd w:val="0"/>
              <w:spacing w:line="240" w:lineRule="auto"/>
              <w:ind w:left="205" w:right="191" w:firstLine="0"/>
              <w:jc w:val="center"/>
              <w:rPr>
                <w:rFonts w:ascii="Calibri" w:eastAsiaTheme="minorEastAsia" w:hAnsi="Calibri" w:cs="Calibri"/>
                <w:color w:val="0462C1"/>
                <w:w w:val="105"/>
                <w:sz w:val="18"/>
                <w:szCs w:val="18"/>
              </w:rPr>
            </w:pPr>
            <w:hyperlink r:id="rId7" w:history="1">
              <w:r w:rsidRPr="00F10DB1">
                <w:rPr>
                  <w:rFonts w:ascii="Calibri" w:eastAsiaTheme="minorEastAsia" w:hAnsi="Calibri" w:cs="Calibri"/>
                  <w:color w:val="0462C1"/>
                  <w:w w:val="105"/>
                  <w:sz w:val="18"/>
                  <w:szCs w:val="18"/>
                  <w:u w:val="single"/>
                </w:rPr>
                <w:t>Jeanette.McClain@jfs.ohio.gov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before="171"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419.247.0484</w:t>
            </w:r>
          </w:p>
        </w:tc>
      </w:tr>
      <w:tr w:rsidR="00F10DB1" w:rsidRPr="00F10DB1">
        <w:tblPrEx>
          <w:tblCellMar>
            <w:top w:w="0" w:type="dxa"/>
            <w:left w:w="0" w:type="dxa"/>
            <w:bottom w:w="0" w:type="dxa"/>
            <w:right w:w="0" w:type="dxa"/>
          </w:tblCellMar>
        </w:tblPrEx>
        <w:trPr>
          <w:trHeight w:val="78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Erich Hetzel</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03"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Akron PC/CC</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2" w:line="240" w:lineRule="auto"/>
              <w:ind w:left="91" w:right="89"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Region 2 - Crawford, Marion, Delaware,</w:t>
            </w:r>
          </w:p>
          <w:p w:rsidR="00F10DB1" w:rsidRPr="00F10DB1" w:rsidRDefault="00F10DB1" w:rsidP="00F10DB1">
            <w:pPr>
              <w:kinsoku w:val="0"/>
              <w:overflowPunct w:val="0"/>
              <w:autoSpaceDE w:val="0"/>
              <w:autoSpaceDN w:val="0"/>
              <w:adjustRightInd w:val="0"/>
              <w:spacing w:before="6" w:line="260" w:lineRule="atLeast"/>
              <w:ind w:left="91" w:right="86"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Morrow, Richland, Knox, Ashland, Wayne, Holmes, Medina, Summit, Stark, Tuscarawas</w:t>
            </w: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4" w:line="240" w:lineRule="auto"/>
              <w:ind w:left="0" w:firstLine="0"/>
              <w:rPr>
                <w:rFonts w:eastAsiaTheme="minorEastAsia"/>
                <w:color w:val="auto"/>
                <w:szCs w:val="24"/>
              </w:rPr>
            </w:pPr>
          </w:p>
          <w:p w:rsidR="00F10DB1" w:rsidRPr="00F10DB1" w:rsidRDefault="00F10DB1" w:rsidP="00F10DB1">
            <w:pPr>
              <w:kinsoku w:val="0"/>
              <w:overflowPunct w:val="0"/>
              <w:autoSpaceDE w:val="0"/>
              <w:autoSpaceDN w:val="0"/>
              <w:adjustRightInd w:val="0"/>
              <w:spacing w:line="240" w:lineRule="auto"/>
              <w:ind w:left="205" w:right="192" w:firstLine="0"/>
              <w:jc w:val="center"/>
              <w:rPr>
                <w:rFonts w:ascii="Calibri" w:eastAsiaTheme="minorEastAsia" w:hAnsi="Calibri" w:cs="Calibri"/>
                <w:color w:val="0462C1"/>
                <w:w w:val="105"/>
                <w:sz w:val="18"/>
                <w:szCs w:val="18"/>
              </w:rPr>
            </w:pPr>
            <w:hyperlink r:id="rId8" w:history="1">
              <w:r w:rsidRPr="00F10DB1">
                <w:rPr>
                  <w:rFonts w:ascii="Calibri" w:eastAsiaTheme="minorEastAsia" w:hAnsi="Calibri" w:cs="Calibri"/>
                  <w:color w:val="0462C1"/>
                  <w:w w:val="105"/>
                  <w:sz w:val="18"/>
                  <w:szCs w:val="18"/>
                  <w:u w:val="single"/>
                </w:rPr>
                <w:t>Erich.Hetzel@jfs.ohio.gov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4" w:line="240" w:lineRule="auto"/>
              <w:ind w:left="0" w:firstLine="0"/>
              <w:rPr>
                <w:rFonts w:eastAsiaTheme="minorEastAsia"/>
                <w:color w:val="auto"/>
                <w:sz w:val="23"/>
                <w:szCs w:val="23"/>
              </w:rPr>
            </w:pPr>
          </w:p>
          <w:p w:rsidR="00F10DB1" w:rsidRPr="00F10DB1" w:rsidRDefault="00F10DB1" w:rsidP="00F10DB1">
            <w:pPr>
              <w:kinsoku w:val="0"/>
              <w:overflowPunct w:val="0"/>
              <w:autoSpaceDE w:val="0"/>
              <w:autoSpaceDN w:val="0"/>
              <w:adjustRightInd w:val="0"/>
              <w:spacing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330.252.6642</w:t>
            </w:r>
          </w:p>
        </w:tc>
      </w:tr>
      <w:tr w:rsidR="00F10DB1" w:rsidRPr="00F10DB1">
        <w:tblPrEx>
          <w:tblCellMar>
            <w:top w:w="0" w:type="dxa"/>
            <w:left w:w="0" w:type="dxa"/>
            <w:bottom w:w="0" w:type="dxa"/>
            <w:right w:w="0" w:type="dxa"/>
          </w:tblCellMar>
        </w:tblPrEx>
        <w:trPr>
          <w:trHeight w:val="62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before="146" w:line="227" w:lineRule="exact"/>
              <w:ind w:left="2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Michael Chastain</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before="146" w:line="227" w:lineRule="exact"/>
              <w:ind w:left="204"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Summit Co.</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57" w:line="261" w:lineRule="auto"/>
              <w:ind w:left="1206" w:hanging="1016"/>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Region 3 - Cuyahoga, Lake, Geauga, Portage, Trumbull, Ashtabula</w:t>
            </w: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5" w:line="240" w:lineRule="auto"/>
              <w:ind w:left="0" w:firstLine="0"/>
              <w:rPr>
                <w:rFonts w:eastAsiaTheme="minorEastAsia"/>
                <w:color w:val="auto"/>
                <w:sz w:val="17"/>
                <w:szCs w:val="17"/>
              </w:rPr>
            </w:pPr>
          </w:p>
          <w:p w:rsidR="00F10DB1" w:rsidRPr="00F10DB1" w:rsidRDefault="00F10DB1" w:rsidP="00F10DB1">
            <w:pPr>
              <w:kinsoku w:val="0"/>
              <w:overflowPunct w:val="0"/>
              <w:autoSpaceDE w:val="0"/>
              <w:autoSpaceDN w:val="0"/>
              <w:adjustRightInd w:val="0"/>
              <w:spacing w:before="1" w:line="240" w:lineRule="auto"/>
              <w:ind w:left="205" w:right="190" w:firstLine="0"/>
              <w:jc w:val="center"/>
              <w:rPr>
                <w:rFonts w:ascii="Calibri" w:eastAsiaTheme="minorEastAsia" w:hAnsi="Calibri" w:cs="Calibri"/>
                <w:color w:val="0462C1"/>
                <w:w w:val="105"/>
                <w:sz w:val="18"/>
                <w:szCs w:val="18"/>
              </w:rPr>
            </w:pPr>
            <w:hyperlink r:id="rId9" w:history="1">
              <w:r w:rsidRPr="00F10DB1">
                <w:rPr>
                  <w:rFonts w:ascii="Calibri" w:eastAsiaTheme="minorEastAsia" w:hAnsi="Calibri" w:cs="Calibri"/>
                  <w:color w:val="0462C1"/>
                  <w:w w:val="105"/>
                  <w:sz w:val="18"/>
                  <w:szCs w:val="18"/>
                  <w:u w:val="single"/>
                </w:rPr>
                <w:t>Michael.Chastain@jfs.ohio.gov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5" w:line="240" w:lineRule="auto"/>
              <w:ind w:left="0" w:firstLine="0"/>
              <w:rPr>
                <w:rFonts w:eastAsiaTheme="minorEastAsia"/>
                <w:color w:val="auto"/>
                <w:sz w:val="16"/>
                <w:szCs w:val="16"/>
              </w:rPr>
            </w:pPr>
          </w:p>
          <w:p w:rsidR="00F10DB1" w:rsidRPr="00F10DB1" w:rsidRDefault="00F10DB1" w:rsidP="00F10DB1">
            <w:pPr>
              <w:kinsoku w:val="0"/>
              <w:overflowPunct w:val="0"/>
              <w:autoSpaceDE w:val="0"/>
              <w:autoSpaceDN w:val="0"/>
              <w:adjustRightInd w:val="0"/>
              <w:spacing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330.630.6982</w:t>
            </w:r>
          </w:p>
        </w:tc>
      </w:tr>
      <w:tr w:rsidR="00F10DB1" w:rsidRPr="00F10DB1">
        <w:tblPrEx>
          <w:tblCellMar>
            <w:top w:w="0" w:type="dxa"/>
            <w:left w:w="0" w:type="dxa"/>
            <w:bottom w:w="0" w:type="dxa"/>
            <w:right w:w="0" w:type="dxa"/>
          </w:tblCellMar>
        </w:tblPrEx>
        <w:trPr>
          <w:trHeight w:val="104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Julie Mettler</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03"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Noble Co.</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2" w:line="261" w:lineRule="auto"/>
              <w:ind w:left="72" w:right="71" w:hanging="2"/>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Region 4 - Mahoning, Columbiana, Carroll, Jefferson, Harrison, Belmont, Guernsey, Noble, Monroe, Coshocton, Muskingum, Morgan,</w:t>
            </w:r>
          </w:p>
          <w:p w:rsidR="00F10DB1" w:rsidRPr="00F10DB1" w:rsidRDefault="00F10DB1" w:rsidP="00F10DB1">
            <w:pPr>
              <w:kinsoku w:val="0"/>
              <w:overflowPunct w:val="0"/>
              <w:autoSpaceDE w:val="0"/>
              <w:autoSpaceDN w:val="0"/>
              <w:adjustRightInd w:val="0"/>
              <w:spacing w:line="226" w:lineRule="exact"/>
              <w:ind w:left="91" w:right="89"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Washington, Perry, Athens, Meigs</w:t>
            </w: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8"/>
                <w:szCs w:val="18"/>
              </w:rPr>
            </w:pPr>
          </w:p>
          <w:p w:rsidR="00F10DB1" w:rsidRPr="00F10DB1" w:rsidRDefault="00F10DB1" w:rsidP="00F10DB1">
            <w:pPr>
              <w:kinsoku w:val="0"/>
              <w:overflowPunct w:val="0"/>
              <w:autoSpaceDE w:val="0"/>
              <w:autoSpaceDN w:val="0"/>
              <w:adjustRightInd w:val="0"/>
              <w:spacing w:line="240" w:lineRule="auto"/>
              <w:ind w:left="195" w:right="192" w:firstLine="0"/>
              <w:jc w:val="center"/>
              <w:rPr>
                <w:rFonts w:ascii="Calibri" w:eastAsiaTheme="minorEastAsia" w:hAnsi="Calibri" w:cs="Calibri"/>
                <w:color w:val="0462C1"/>
                <w:w w:val="105"/>
                <w:sz w:val="18"/>
                <w:szCs w:val="18"/>
              </w:rPr>
            </w:pPr>
            <w:hyperlink r:id="rId10" w:history="1">
              <w:r w:rsidRPr="00F10DB1">
                <w:rPr>
                  <w:rFonts w:ascii="Calibri" w:eastAsiaTheme="minorEastAsia" w:hAnsi="Calibri" w:cs="Calibri"/>
                  <w:color w:val="0462C1"/>
                  <w:w w:val="105"/>
                  <w:sz w:val="18"/>
                  <w:szCs w:val="18"/>
                  <w:u w:val="single"/>
                </w:rPr>
                <w:t>Julie.Mettler@jfs.ohio.gov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before="170"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740.624.3381</w:t>
            </w:r>
          </w:p>
        </w:tc>
      </w:tr>
      <w:tr w:rsidR="00F10DB1" w:rsidRPr="00F10DB1">
        <w:tblPrEx>
          <w:tblCellMar>
            <w:top w:w="0" w:type="dxa"/>
            <w:left w:w="0" w:type="dxa"/>
            <w:bottom w:w="0" w:type="dxa"/>
            <w:right w:w="0" w:type="dxa"/>
          </w:tblCellMar>
        </w:tblPrEx>
        <w:trPr>
          <w:trHeight w:val="104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Bob O'Keefe</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01"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Franklin Co</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61" w:lineRule="auto"/>
              <w:ind w:left="75" w:right="75" w:hanging="1"/>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Region 5 - Union, Madison, Franklin, Licking, Pickaway, Fairfield, Ross, Hocking, Pike, Scioto, Vinton, Jackson, Galia, Lawrence, Scioto,</w:t>
            </w:r>
          </w:p>
          <w:p w:rsidR="00F10DB1" w:rsidRPr="00F10DB1" w:rsidRDefault="00F10DB1" w:rsidP="00F10DB1">
            <w:pPr>
              <w:kinsoku w:val="0"/>
              <w:overflowPunct w:val="0"/>
              <w:autoSpaceDE w:val="0"/>
              <w:autoSpaceDN w:val="0"/>
              <w:adjustRightInd w:val="0"/>
              <w:spacing w:line="229" w:lineRule="exact"/>
              <w:ind w:left="91" w:right="90"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Adams, Brown</w:t>
            </w: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8"/>
                <w:szCs w:val="18"/>
              </w:rPr>
            </w:pPr>
          </w:p>
          <w:p w:rsidR="00F10DB1" w:rsidRPr="00F10DB1" w:rsidRDefault="00F10DB1" w:rsidP="00F10DB1">
            <w:pPr>
              <w:kinsoku w:val="0"/>
              <w:overflowPunct w:val="0"/>
              <w:autoSpaceDE w:val="0"/>
              <w:autoSpaceDN w:val="0"/>
              <w:adjustRightInd w:val="0"/>
              <w:spacing w:line="240" w:lineRule="auto"/>
              <w:ind w:left="205" w:right="191" w:firstLine="0"/>
              <w:jc w:val="center"/>
              <w:rPr>
                <w:rFonts w:ascii="Calibri" w:eastAsiaTheme="minorEastAsia" w:hAnsi="Calibri" w:cs="Calibri"/>
                <w:color w:val="0462C1"/>
                <w:w w:val="105"/>
                <w:sz w:val="18"/>
                <w:szCs w:val="18"/>
              </w:rPr>
            </w:pPr>
            <w:hyperlink r:id="rId11" w:history="1">
              <w:r w:rsidRPr="00F10DB1">
                <w:rPr>
                  <w:rFonts w:ascii="Calibri" w:eastAsiaTheme="minorEastAsia" w:hAnsi="Calibri" w:cs="Calibri"/>
                  <w:color w:val="0462C1"/>
                  <w:w w:val="105"/>
                  <w:sz w:val="18"/>
                  <w:szCs w:val="18"/>
                  <w:u w:val="single"/>
                </w:rPr>
                <w:t>Robert.Okeefe@jfs.ohio.gov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before="170"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614.644.9315</w:t>
            </w:r>
          </w:p>
        </w:tc>
      </w:tr>
      <w:tr w:rsidR="00F10DB1" w:rsidRPr="00F10DB1">
        <w:tblPrEx>
          <w:tblCellMar>
            <w:top w:w="0" w:type="dxa"/>
            <w:left w:w="0" w:type="dxa"/>
            <w:bottom w:w="0" w:type="dxa"/>
            <w:right w:w="0" w:type="dxa"/>
          </w:tblCellMar>
        </w:tblPrEx>
        <w:trPr>
          <w:trHeight w:val="46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2" w:line="240" w:lineRule="auto"/>
              <w:ind w:left="0" w:firstLine="0"/>
              <w:rPr>
                <w:rFonts w:eastAsiaTheme="minorEastAsia"/>
                <w:color w:val="auto"/>
                <w:sz w:val="19"/>
                <w:szCs w:val="19"/>
              </w:rPr>
            </w:pPr>
          </w:p>
          <w:p w:rsidR="00F10DB1" w:rsidRPr="00F10DB1" w:rsidRDefault="00F10DB1" w:rsidP="00F10DB1">
            <w:pPr>
              <w:kinsoku w:val="0"/>
              <w:overflowPunct w:val="0"/>
              <w:autoSpaceDE w:val="0"/>
              <w:autoSpaceDN w:val="0"/>
              <w:adjustRightInd w:val="0"/>
              <w:spacing w:line="226" w:lineRule="exact"/>
              <w:ind w:left="2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Darryl Gaither</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2" w:line="240" w:lineRule="auto"/>
              <w:ind w:left="0" w:firstLine="0"/>
              <w:rPr>
                <w:rFonts w:eastAsiaTheme="minorEastAsia"/>
                <w:color w:val="auto"/>
                <w:sz w:val="19"/>
                <w:szCs w:val="19"/>
              </w:rPr>
            </w:pPr>
          </w:p>
          <w:p w:rsidR="00F10DB1" w:rsidRPr="00F10DB1" w:rsidRDefault="00F10DB1" w:rsidP="00F10DB1">
            <w:pPr>
              <w:kinsoku w:val="0"/>
              <w:overflowPunct w:val="0"/>
              <w:autoSpaceDE w:val="0"/>
              <w:autoSpaceDN w:val="0"/>
              <w:adjustRightInd w:val="0"/>
              <w:spacing w:line="226" w:lineRule="exact"/>
              <w:ind w:left="203"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Hamilton Co.</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112" w:line="240" w:lineRule="auto"/>
              <w:ind w:left="90" w:right="90"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Region 6 - Clermont, Hamilton, Butler, Warren</w:t>
            </w: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124" w:line="240" w:lineRule="auto"/>
              <w:ind w:left="205" w:right="192" w:firstLine="0"/>
              <w:jc w:val="center"/>
              <w:rPr>
                <w:rFonts w:ascii="Calibri" w:eastAsiaTheme="minorEastAsia" w:hAnsi="Calibri" w:cs="Calibri"/>
                <w:color w:val="0462C1"/>
                <w:w w:val="105"/>
                <w:sz w:val="18"/>
                <w:szCs w:val="18"/>
              </w:rPr>
            </w:pPr>
            <w:hyperlink r:id="rId12" w:history="1">
              <w:r w:rsidRPr="00F10DB1">
                <w:rPr>
                  <w:rFonts w:ascii="Calibri" w:eastAsiaTheme="minorEastAsia" w:hAnsi="Calibri" w:cs="Calibri"/>
                  <w:color w:val="0462C1"/>
                  <w:w w:val="105"/>
                  <w:sz w:val="18"/>
                  <w:szCs w:val="18"/>
                  <w:u w:val="single"/>
                </w:rPr>
                <w:t>Darryl.Gaither@jfs.ohio.gov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110"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513.946.7213</w:t>
            </w:r>
          </w:p>
        </w:tc>
      </w:tr>
      <w:tr w:rsidR="00F10DB1" w:rsidRPr="00F10DB1">
        <w:tblPrEx>
          <w:tblCellMar>
            <w:top w:w="0" w:type="dxa"/>
            <w:left w:w="0" w:type="dxa"/>
            <w:bottom w:w="0" w:type="dxa"/>
            <w:right w:w="0" w:type="dxa"/>
          </w:tblCellMar>
        </w:tblPrEx>
        <w:trPr>
          <w:trHeight w:val="104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Matthew Longfellow</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6" w:lineRule="exact"/>
              <w:ind w:left="201"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Miami Co.</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2" w:line="261" w:lineRule="auto"/>
              <w:ind w:left="89" w:right="85" w:firstLine="2"/>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Region 7 - Van Wert, Mercer, Darke, Preble, Auglaize, Shelby, Miami, Montgomery, Hardin, Logan, Champaign, Clark, Greene, Clinton,</w:t>
            </w:r>
          </w:p>
          <w:p w:rsidR="00F10DB1" w:rsidRPr="00F10DB1" w:rsidRDefault="00F10DB1" w:rsidP="00F10DB1">
            <w:pPr>
              <w:kinsoku w:val="0"/>
              <w:overflowPunct w:val="0"/>
              <w:autoSpaceDE w:val="0"/>
              <w:autoSpaceDN w:val="0"/>
              <w:adjustRightInd w:val="0"/>
              <w:spacing w:line="226" w:lineRule="exact"/>
              <w:ind w:left="91" w:right="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Highland, Fayette</w:t>
            </w: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8"/>
                <w:szCs w:val="18"/>
              </w:rPr>
            </w:pPr>
          </w:p>
          <w:p w:rsidR="00F10DB1" w:rsidRPr="00F10DB1" w:rsidRDefault="00F10DB1" w:rsidP="00F10DB1">
            <w:pPr>
              <w:kinsoku w:val="0"/>
              <w:overflowPunct w:val="0"/>
              <w:autoSpaceDE w:val="0"/>
              <w:autoSpaceDN w:val="0"/>
              <w:adjustRightInd w:val="0"/>
              <w:spacing w:line="240" w:lineRule="auto"/>
              <w:ind w:left="205" w:right="192" w:firstLine="0"/>
              <w:jc w:val="center"/>
              <w:rPr>
                <w:rFonts w:ascii="Calibri" w:eastAsiaTheme="minorEastAsia" w:hAnsi="Calibri" w:cs="Calibri"/>
                <w:color w:val="0462C1"/>
                <w:w w:val="105"/>
                <w:sz w:val="18"/>
                <w:szCs w:val="18"/>
              </w:rPr>
            </w:pPr>
            <w:hyperlink r:id="rId13" w:history="1">
              <w:r w:rsidRPr="00F10DB1">
                <w:rPr>
                  <w:rFonts w:ascii="Calibri" w:eastAsiaTheme="minorEastAsia" w:hAnsi="Calibri" w:cs="Calibri"/>
                  <w:color w:val="0462C1"/>
                  <w:w w:val="105"/>
                  <w:sz w:val="18"/>
                  <w:szCs w:val="18"/>
                  <w:u w:val="single"/>
                </w:rPr>
                <w:t>Matthew.Longfellow@jfs.ohio.gov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before="170"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937.440.3465</w:t>
            </w:r>
          </w:p>
        </w:tc>
      </w:tr>
      <w:tr w:rsidR="00F10DB1" w:rsidRPr="00F10DB1">
        <w:tblPrEx>
          <w:tblCellMar>
            <w:top w:w="0" w:type="dxa"/>
            <w:left w:w="0" w:type="dxa"/>
            <w:bottom w:w="0" w:type="dxa"/>
            <w:right w:w="0" w:type="dxa"/>
          </w:tblCellMar>
        </w:tblPrEx>
        <w:trPr>
          <w:trHeight w:val="180"/>
        </w:trPr>
        <w:tc>
          <w:tcPr>
            <w:tcW w:w="2216"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2"/>
                <w:szCs w:val="12"/>
              </w:rPr>
            </w:pPr>
          </w:p>
        </w:tc>
        <w:tc>
          <w:tcPr>
            <w:tcW w:w="1639"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2"/>
                <w:szCs w:val="12"/>
              </w:rPr>
            </w:pPr>
          </w:p>
        </w:tc>
        <w:tc>
          <w:tcPr>
            <w:tcW w:w="4156"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2"/>
                <w:szCs w:val="12"/>
              </w:rPr>
            </w:pPr>
          </w:p>
        </w:tc>
        <w:tc>
          <w:tcPr>
            <w:tcW w:w="3111"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2"/>
                <w:szCs w:val="12"/>
              </w:rPr>
            </w:pPr>
          </w:p>
        </w:tc>
        <w:tc>
          <w:tcPr>
            <w:tcW w:w="2268" w:type="dxa"/>
            <w:tcBorders>
              <w:top w:val="single" w:sz="8" w:space="0" w:color="000000"/>
              <w:left w:val="single" w:sz="8" w:space="0" w:color="000000"/>
              <w:bottom w:val="single" w:sz="8" w:space="0" w:color="000000"/>
              <w:right w:val="single" w:sz="8" w:space="0" w:color="000000"/>
            </w:tcBorders>
            <w:shd w:val="clear" w:color="auto" w:fill="D9D9D9"/>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12"/>
                <w:szCs w:val="12"/>
              </w:rPr>
            </w:pPr>
          </w:p>
        </w:tc>
      </w:tr>
      <w:tr w:rsidR="00F10DB1" w:rsidRPr="00F10DB1">
        <w:tblPrEx>
          <w:tblCellMar>
            <w:top w:w="0" w:type="dxa"/>
            <w:left w:w="0" w:type="dxa"/>
            <w:bottom w:w="0" w:type="dxa"/>
            <w:right w:w="0" w:type="dxa"/>
          </w:tblCellMar>
        </w:tblPrEx>
        <w:trPr>
          <w:trHeight w:val="700"/>
        </w:trPr>
        <w:tc>
          <w:tcPr>
            <w:tcW w:w="221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118" w:line="240" w:lineRule="auto"/>
              <w:ind w:left="384" w:firstLine="0"/>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Becky DeMatteis</w:t>
            </w:r>
          </w:p>
          <w:p w:rsidR="00F10DB1" w:rsidRPr="00F10DB1" w:rsidRDefault="00F10DB1" w:rsidP="00F10DB1">
            <w:pPr>
              <w:kinsoku w:val="0"/>
              <w:overflowPunct w:val="0"/>
              <w:autoSpaceDE w:val="0"/>
              <w:autoSpaceDN w:val="0"/>
              <w:adjustRightInd w:val="0"/>
              <w:spacing w:before="17" w:line="240" w:lineRule="auto"/>
              <w:ind w:left="473" w:firstLine="0"/>
              <w:rPr>
                <w:rFonts w:ascii="Calibri" w:eastAsiaTheme="minorEastAsia" w:hAnsi="Calibri" w:cs="Calibri"/>
                <w:color w:val="auto"/>
                <w:sz w:val="17"/>
                <w:szCs w:val="17"/>
              </w:rPr>
            </w:pPr>
            <w:r w:rsidRPr="00F10DB1">
              <w:rPr>
                <w:rFonts w:ascii="Calibri" w:eastAsiaTheme="minorEastAsia" w:hAnsi="Calibri" w:cs="Calibri"/>
                <w:color w:val="auto"/>
                <w:sz w:val="17"/>
                <w:szCs w:val="17"/>
              </w:rPr>
              <w:t>Program Manager</w:t>
            </w:r>
          </w:p>
        </w:tc>
        <w:tc>
          <w:tcPr>
            <w:tcW w:w="1639"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29" w:lineRule="exact"/>
              <w:ind w:left="188" w:right="188" w:firstLine="0"/>
              <w:jc w:val="center"/>
              <w:rPr>
                <w:rFonts w:ascii="Calibri" w:eastAsiaTheme="minorEastAsia" w:hAnsi="Calibri" w:cs="Calibri"/>
                <w:b/>
                <w:bCs/>
                <w:color w:val="auto"/>
                <w:sz w:val="20"/>
                <w:szCs w:val="20"/>
              </w:rPr>
            </w:pPr>
            <w:r w:rsidRPr="00F10DB1">
              <w:rPr>
                <w:rFonts w:ascii="Calibri" w:eastAsiaTheme="minorEastAsia" w:hAnsi="Calibri" w:cs="Calibri"/>
                <w:b/>
                <w:bCs/>
                <w:color w:val="auto"/>
                <w:sz w:val="20"/>
                <w:szCs w:val="20"/>
              </w:rPr>
              <w:t>Franklin Co.</w:t>
            </w:r>
          </w:p>
        </w:tc>
        <w:tc>
          <w:tcPr>
            <w:tcW w:w="4156"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line="240" w:lineRule="auto"/>
              <w:ind w:left="0" w:firstLine="0"/>
              <w:rPr>
                <w:rFonts w:eastAsiaTheme="minorEastAsia"/>
                <w:color w:val="auto"/>
                <w:sz w:val="20"/>
                <w:szCs w:val="20"/>
              </w:rPr>
            </w:pPr>
          </w:p>
        </w:tc>
        <w:tc>
          <w:tcPr>
            <w:tcW w:w="3111"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10" w:line="240" w:lineRule="auto"/>
              <w:ind w:left="0" w:firstLine="0"/>
              <w:rPr>
                <w:rFonts w:eastAsiaTheme="minorEastAsia"/>
                <w:color w:val="auto"/>
                <w:sz w:val="20"/>
                <w:szCs w:val="20"/>
              </w:rPr>
            </w:pPr>
          </w:p>
          <w:p w:rsidR="00F10DB1" w:rsidRPr="00F10DB1" w:rsidRDefault="00F10DB1" w:rsidP="00F10DB1">
            <w:pPr>
              <w:kinsoku w:val="0"/>
              <w:overflowPunct w:val="0"/>
              <w:autoSpaceDE w:val="0"/>
              <w:autoSpaceDN w:val="0"/>
              <w:adjustRightInd w:val="0"/>
              <w:spacing w:line="240" w:lineRule="auto"/>
              <w:ind w:left="204" w:right="192" w:firstLine="0"/>
              <w:jc w:val="center"/>
              <w:rPr>
                <w:rFonts w:ascii="Calibri" w:eastAsiaTheme="minorEastAsia" w:hAnsi="Calibri" w:cs="Calibri"/>
                <w:color w:val="0462C1"/>
                <w:w w:val="105"/>
                <w:sz w:val="18"/>
                <w:szCs w:val="18"/>
              </w:rPr>
            </w:pPr>
            <w:hyperlink r:id="rId14" w:history="1">
              <w:r w:rsidRPr="00F10DB1">
                <w:rPr>
                  <w:rFonts w:ascii="Calibri" w:eastAsiaTheme="minorEastAsia" w:hAnsi="Calibri" w:cs="Calibri"/>
                  <w:color w:val="0462C1"/>
                  <w:w w:val="105"/>
                  <w:sz w:val="18"/>
                  <w:szCs w:val="18"/>
                  <w:u w:val="single"/>
                </w:rPr>
                <w:t>Rebecca.DeMatteis@jfs.ohio.gov</w:t>
              </w:r>
            </w:hyperlink>
          </w:p>
        </w:tc>
        <w:tc>
          <w:tcPr>
            <w:tcW w:w="2268" w:type="dxa"/>
            <w:tcBorders>
              <w:top w:val="single" w:sz="8" w:space="0" w:color="000000"/>
              <w:left w:val="single" w:sz="8" w:space="0" w:color="000000"/>
              <w:bottom w:val="single" w:sz="8" w:space="0" w:color="000000"/>
              <w:right w:val="single" w:sz="8" w:space="0" w:color="000000"/>
            </w:tcBorders>
          </w:tcPr>
          <w:p w:rsidR="00F10DB1" w:rsidRPr="00F10DB1" w:rsidRDefault="00F10DB1" w:rsidP="00F10DB1">
            <w:pPr>
              <w:kinsoku w:val="0"/>
              <w:overflowPunct w:val="0"/>
              <w:autoSpaceDE w:val="0"/>
              <w:autoSpaceDN w:val="0"/>
              <w:adjustRightInd w:val="0"/>
              <w:spacing w:before="10" w:line="240" w:lineRule="auto"/>
              <w:ind w:left="0" w:firstLine="0"/>
              <w:rPr>
                <w:rFonts w:eastAsiaTheme="minorEastAsia"/>
                <w:color w:val="auto"/>
                <w:sz w:val="19"/>
                <w:szCs w:val="19"/>
              </w:rPr>
            </w:pPr>
          </w:p>
          <w:p w:rsidR="00F10DB1" w:rsidRPr="00F10DB1" w:rsidRDefault="00F10DB1" w:rsidP="00F10DB1">
            <w:pPr>
              <w:kinsoku w:val="0"/>
              <w:overflowPunct w:val="0"/>
              <w:autoSpaceDE w:val="0"/>
              <w:autoSpaceDN w:val="0"/>
              <w:adjustRightInd w:val="0"/>
              <w:spacing w:line="240" w:lineRule="auto"/>
              <w:ind w:left="553" w:right="539" w:firstLine="0"/>
              <w:jc w:val="center"/>
              <w:rPr>
                <w:rFonts w:ascii="Calibri" w:eastAsiaTheme="minorEastAsia" w:hAnsi="Calibri" w:cs="Calibri"/>
                <w:color w:val="auto"/>
                <w:sz w:val="20"/>
                <w:szCs w:val="20"/>
              </w:rPr>
            </w:pPr>
            <w:r w:rsidRPr="00F10DB1">
              <w:rPr>
                <w:rFonts w:ascii="Calibri" w:eastAsiaTheme="minorEastAsia" w:hAnsi="Calibri" w:cs="Calibri"/>
                <w:color w:val="auto"/>
                <w:sz w:val="20"/>
                <w:szCs w:val="20"/>
              </w:rPr>
              <w:t>614.466.1184</w:t>
            </w:r>
          </w:p>
        </w:tc>
      </w:tr>
    </w:tbl>
    <w:p w:rsidR="00F10DB1" w:rsidRPr="008B097D" w:rsidRDefault="00F10DB1" w:rsidP="007813B2">
      <w:pPr>
        <w:ind w:left="0" w:firstLine="0"/>
        <w:rPr>
          <w:b/>
          <w:color w:val="auto"/>
        </w:rPr>
      </w:pPr>
    </w:p>
    <w:p w:rsidR="007813B2" w:rsidRPr="00543210" w:rsidRDefault="007813B2" w:rsidP="007813B2">
      <w:pPr>
        <w:ind w:left="0" w:firstLine="0"/>
        <w:rPr>
          <w:color w:val="auto"/>
        </w:rPr>
      </w:pPr>
    </w:p>
    <w:p w:rsidR="007813B2" w:rsidRPr="00543210" w:rsidRDefault="007813B2" w:rsidP="007813B2">
      <w:pPr>
        <w:ind w:left="0" w:firstLine="0"/>
        <w:rPr>
          <w:color w:val="auto"/>
        </w:rPr>
      </w:pPr>
      <w:r w:rsidRPr="00543210">
        <w:rPr>
          <w:color w:val="auto"/>
        </w:rPr>
        <w:t>Patrick Reardon</w:t>
      </w:r>
    </w:p>
    <w:p w:rsidR="007813B2" w:rsidRPr="00543210" w:rsidRDefault="007813B2" w:rsidP="007813B2">
      <w:pPr>
        <w:ind w:left="0" w:firstLine="0"/>
        <w:rPr>
          <w:color w:val="auto"/>
        </w:rPr>
      </w:pPr>
      <w:r w:rsidRPr="00543210">
        <w:rPr>
          <w:color w:val="auto"/>
        </w:rPr>
        <w:t>Executive Administrator</w:t>
      </w:r>
    </w:p>
    <w:p w:rsidR="007813B2" w:rsidRPr="00543210" w:rsidRDefault="007813B2" w:rsidP="007813B2">
      <w:pPr>
        <w:ind w:left="0" w:firstLine="0"/>
        <w:rPr>
          <w:color w:val="auto"/>
        </w:rPr>
      </w:pPr>
      <w:r w:rsidRPr="00543210">
        <w:rPr>
          <w:color w:val="auto"/>
        </w:rPr>
        <w:t xml:space="preserve">Ohio Department of Job &amp; Family Services </w:t>
      </w:r>
    </w:p>
    <w:p w:rsidR="007813B2" w:rsidRPr="00543210" w:rsidRDefault="007813B2" w:rsidP="007813B2">
      <w:pPr>
        <w:ind w:left="0" w:firstLine="0"/>
        <w:rPr>
          <w:color w:val="auto"/>
        </w:rPr>
      </w:pPr>
      <w:r w:rsidRPr="00543210">
        <w:rPr>
          <w:color w:val="auto"/>
        </w:rPr>
        <w:t xml:space="preserve">Office of Workforce Development Ohio State Apprenticeship Council </w:t>
      </w:r>
    </w:p>
    <w:p w:rsidR="007813B2" w:rsidRPr="00543210" w:rsidRDefault="007813B2" w:rsidP="007813B2">
      <w:pPr>
        <w:ind w:left="0" w:firstLine="0"/>
        <w:rPr>
          <w:color w:val="auto"/>
        </w:rPr>
      </w:pPr>
      <w:r w:rsidRPr="00543210">
        <w:rPr>
          <w:color w:val="auto"/>
        </w:rPr>
        <w:t xml:space="preserve">P.O. Box 1618 </w:t>
      </w:r>
    </w:p>
    <w:p w:rsidR="007813B2" w:rsidRDefault="007813B2" w:rsidP="007813B2">
      <w:pPr>
        <w:ind w:left="0" w:firstLine="0"/>
        <w:rPr>
          <w:color w:val="auto"/>
        </w:rPr>
      </w:pPr>
      <w:r w:rsidRPr="00543210">
        <w:rPr>
          <w:color w:val="auto"/>
        </w:rPr>
        <w:t>Columbus, OH 43216-1618</w:t>
      </w:r>
    </w:p>
    <w:p w:rsidR="00F10DB1" w:rsidRDefault="00F10DB1" w:rsidP="00F10DB1">
      <w:pPr>
        <w:ind w:left="0" w:firstLine="0"/>
        <w:rPr>
          <w:rStyle w:val="Hyperlink"/>
          <w:color w:val="auto"/>
        </w:rPr>
      </w:pPr>
      <w:hyperlink r:id="rId15" w:history="1">
        <w:r w:rsidRPr="00543210">
          <w:rPr>
            <w:rStyle w:val="Hyperlink"/>
            <w:color w:val="auto"/>
          </w:rPr>
          <w:t>Patrick.Reardon@jfs.ohio.gov</w:t>
        </w:r>
      </w:hyperlink>
    </w:p>
    <w:p w:rsidR="007813B2" w:rsidRPr="00543210" w:rsidRDefault="007813B2" w:rsidP="007813B2">
      <w:pPr>
        <w:ind w:left="0" w:firstLine="0"/>
        <w:rPr>
          <w:color w:val="auto"/>
        </w:rPr>
      </w:pPr>
      <w:r w:rsidRPr="00543210">
        <w:rPr>
          <w:color w:val="auto"/>
        </w:rPr>
        <w:t>(614) 644-0863</w:t>
      </w:r>
    </w:p>
    <w:p w:rsidR="00F10DB1" w:rsidRPr="00F10DB1" w:rsidRDefault="00F10DB1" w:rsidP="00F10DB1">
      <w:pPr>
        <w:ind w:left="0" w:firstLine="0"/>
        <w:jc w:val="center"/>
        <w:rPr>
          <w:b/>
          <w:color w:val="auto"/>
          <w:u w:val="single"/>
        </w:rPr>
      </w:pPr>
      <w:r w:rsidRPr="00F10DB1">
        <w:rPr>
          <w:rStyle w:val="Hyperlink"/>
          <w:b/>
          <w:color w:val="auto"/>
        </w:rPr>
        <w:t>Questions on Education</w:t>
      </w:r>
    </w:p>
    <w:p w:rsidR="007813B2" w:rsidRDefault="007813B2" w:rsidP="007813B2">
      <w:pPr>
        <w:ind w:left="0" w:firstLine="0"/>
        <w:rPr>
          <w:color w:val="auto"/>
        </w:rPr>
      </w:pPr>
    </w:p>
    <w:p w:rsidR="00F10DB1" w:rsidRDefault="00F10DB1" w:rsidP="007813B2">
      <w:pPr>
        <w:ind w:left="0" w:firstLine="0"/>
        <w:rPr>
          <w:color w:val="auto"/>
        </w:rPr>
      </w:pPr>
      <w:r>
        <w:rPr>
          <w:color w:val="auto"/>
        </w:rPr>
        <w:t>Linda O’Connor</w:t>
      </w:r>
    </w:p>
    <w:p w:rsidR="00F10DB1" w:rsidRDefault="00F10DB1" w:rsidP="007813B2">
      <w:pPr>
        <w:ind w:left="0" w:firstLine="0"/>
        <w:rPr>
          <w:color w:val="auto"/>
        </w:rPr>
      </w:pPr>
      <w:r>
        <w:rPr>
          <w:color w:val="auto"/>
        </w:rPr>
        <w:t>Ohio Department of Education/Career-Technical Education</w:t>
      </w:r>
    </w:p>
    <w:p w:rsidR="00F10DB1" w:rsidRDefault="00F10DB1" w:rsidP="007813B2">
      <w:pPr>
        <w:ind w:left="0" w:firstLine="0"/>
        <w:rPr>
          <w:color w:val="auto"/>
        </w:rPr>
      </w:pPr>
      <w:r>
        <w:rPr>
          <w:color w:val="auto"/>
        </w:rPr>
        <w:t>25 S. Front Street</w:t>
      </w:r>
    </w:p>
    <w:p w:rsidR="00F10DB1" w:rsidRDefault="00F10DB1" w:rsidP="007813B2">
      <w:pPr>
        <w:ind w:left="0" w:firstLine="0"/>
        <w:rPr>
          <w:color w:val="auto"/>
        </w:rPr>
      </w:pPr>
      <w:r>
        <w:rPr>
          <w:color w:val="auto"/>
        </w:rPr>
        <w:t>Columbus, OH 43215</w:t>
      </w:r>
    </w:p>
    <w:p w:rsidR="00F10DB1" w:rsidRDefault="00F10DB1" w:rsidP="007813B2">
      <w:pPr>
        <w:ind w:left="0" w:firstLine="0"/>
        <w:rPr>
          <w:color w:val="auto"/>
        </w:rPr>
      </w:pPr>
      <w:hyperlink r:id="rId16" w:history="1">
        <w:r w:rsidRPr="00221D91">
          <w:rPr>
            <w:rStyle w:val="Hyperlink"/>
          </w:rPr>
          <w:t>Linda.oconnor@education.ohio.gov</w:t>
        </w:r>
      </w:hyperlink>
      <w:r>
        <w:rPr>
          <w:color w:val="auto"/>
        </w:rPr>
        <w:t xml:space="preserve"> </w:t>
      </w:r>
    </w:p>
    <w:p w:rsidR="00F10DB1" w:rsidRDefault="00F10DB1" w:rsidP="007813B2">
      <w:pPr>
        <w:ind w:left="0" w:firstLine="0"/>
        <w:rPr>
          <w:color w:val="auto"/>
        </w:rPr>
      </w:pPr>
      <w:r>
        <w:rPr>
          <w:color w:val="auto"/>
        </w:rPr>
        <w:t>(614) 644-6095</w:t>
      </w:r>
    </w:p>
    <w:p w:rsidR="00F10DB1" w:rsidRPr="00543210" w:rsidRDefault="00F10DB1" w:rsidP="007813B2">
      <w:pPr>
        <w:ind w:left="0" w:firstLine="0"/>
        <w:rPr>
          <w:color w:val="auto"/>
        </w:rPr>
      </w:pPr>
    </w:p>
    <w:sectPr w:rsidR="00F10DB1" w:rsidRPr="00543210">
      <w:footerReference w:type="even" r:id="rId17"/>
      <w:footerReference w:type="default" r:id="rId18"/>
      <w:footerReference w:type="first" r:id="rId19"/>
      <w:pgSz w:w="12240" w:h="15840"/>
      <w:pgMar w:top="439" w:right="439" w:bottom="785" w:left="720"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0F" w:rsidRDefault="00A11F64">
      <w:pPr>
        <w:spacing w:line="240" w:lineRule="auto"/>
      </w:pPr>
      <w:r>
        <w:separator/>
      </w:r>
    </w:p>
  </w:endnote>
  <w:endnote w:type="continuationSeparator" w:id="0">
    <w:p w:rsidR="0049520F" w:rsidRDefault="00A11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B9" w:rsidRDefault="00A11F64">
    <w:pPr>
      <w:tabs>
        <w:tab w:val="center" w:pos="5543"/>
      </w:tabs>
      <w:spacing w:line="259" w:lineRule="auto"/>
      <w:ind w:left="0" w:firstLine="0"/>
    </w:pPr>
    <w:r>
      <w:t xml:space="preserve"> </w:t>
    </w:r>
    <w:r>
      <w:tab/>
    </w:r>
    <w:r>
      <w:fldChar w:fldCharType="begin"/>
    </w:r>
    <w:r>
      <w:instrText xml:space="preserve"> PAGE   \* MERGEFORMAT </w:instrText>
    </w:r>
    <w:r>
      <w:fldChar w:fldCharType="separate"/>
    </w:r>
    <w:r>
      <w:rPr>
        <w:sz w:val="16"/>
      </w:rPr>
      <w: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B9" w:rsidRDefault="00A11F64">
    <w:pPr>
      <w:tabs>
        <w:tab w:val="center" w:pos="5543"/>
      </w:tabs>
      <w:spacing w:line="259" w:lineRule="auto"/>
      <w:ind w:left="0" w:firstLine="0"/>
    </w:pPr>
    <w:r>
      <w:t xml:space="preserve"> </w:t>
    </w:r>
    <w:r>
      <w:tab/>
    </w:r>
    <w:r>
      <w:fldChar w:fldCharType="begin"/>
    </w:r>
    <w:r>
      <w:instrText xml:space="preserve"> PAGE   \* MERGEFORMAT </w:instrText>
    </w:r>
    <w:r>
      <w:fldChar w:fldCharType="separate"/>
    </w:r>
    <w:r w:rsidR="00091C57" w:rsidRPr="00091C57">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B9" w:rsidRDefault="00A11F64">
    <w:pPr>
      <w:tabs>
        <w:tab w:val="center" w:pos="5543"/>
      </w:tabs>
      <w:spacing w:line="259" w:lineRule="auto"/>
      <w:ind w:left="0" w:firstLine="0"/>
    </w:pPr>
    <w:r>
      <w:t xml:space="preserve"> </w:t>
    </w:r>
    <w:r>
      <w:tab/>
    </w:r>
    <w:r>
      <w:fldChar w:fldCharType="begin"/>
    </w:r>
    <w:r>
      <w:instrText xml:space="preserve"> PAGE   \* MERGEFORMAT </w:instrText>
    </w:r>
    <w: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0F" w:rsidRDefault="00A11F64">
      <w:pPr>
        <w:spacing w:line="240" w:lineRule="auto"/>
      </w:pPr>
      <w:r>
        <w:separator/>
      </w:r>
    </w:p>
  </w:footnote>
  <w:footnote w:type="continuationSeparator" w:id="0">
    <w:p w:rsidR="0049520F" w:rsidRDefault="00A11F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13E89"/>
    <w:multiLevelType w:val="hybridMultilevel"/>
    <w:tmpl w:val="9B0A5B54"/>
    <w:lvl w:ilvl="0" w:tplc="36D27310">
      <w:start w:val="1"/>
      <w:numFmt w:val="upp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C4AE">
      <w:start w:val="1"/>
      <w:numFmt w:val="decimal"/>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4B7C0">
      <w:start w:val="1"/>
      <w:numFmt w:val="lowerLetter"/>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E20FC">
      <w:start w:val="1"/>
      <w:numFmt w:val="decimal"/>
      <w:lvlText w:val="%4"/>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E74E">
      <w:start w:val="1"/>
      <w:numFmt w:val="lowerLetter"/>
      <w:lvlText w:val="%5"/>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A3122">
      <w:start w:val="1"/>
      <w:numFmt w:val="lowerRoman"/>
      <w:lvlText w:val="%6"/>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F084">
      <w:start w:val="1"/>
      <w:numFmt w:val="decimal"/>
      <w:lvlText w:val="%7"/>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80AA4">
      <w:start w:val="1"/>
      <w:numFmt w:val="lowerLetter"/>
      <w:lvlText w:val="%8"/>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4F9E0">
      <w:start w:val="1"/>
      <w:numFmt w:val="lowerRoman"/>
      <w:lvlText w:val="%9"/>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570FB8"/>
    <w:multiLevelType w:val="hybridMultilevel"/>
    <w:tmpl w:val="78B09172"/>
    <w:lvl w:ilvl="0" w:tplc="66683FA2">
      <w:start w:val="1"/>
      <w:numFmt w:val="upperLetter"/>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07B80">
      <w:start w:val="1"/>
      <w:numFmt w:val="decimal"/>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476F6">
      <w:start w:val="1"/>
      <w:numFmt w:val="lowerLetter"/>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62B80">
      <w:start w:val="1"/>
      <w:numFmt w:val="decimal"/>
      <w:lvlText w:val="%4"/>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88B9A">
      <w:start w:val="1"/>
      <w:numFmt w:val="lowerLetter"/>
      <w:lvlText w:val="%5"/>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421DE">
      <w:start w:val="1"/>
      <w:numFmt w:val="lowerRoman"/>
      <w:lvlText w:val="%6"/>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AE890">
      <w:start w:val="1"/>
      <w:numFmt w:val="decimal"/>
      <w:lvlText w:val="%7"/>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478D8">
      <w:start w:val="1"/>
      <w:numFmt w:val="lowerLetter"/>
      <w:lvlText w:val="%8"/>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0EB5C">
      <w:start w:val="1"/>
      <w:numFmt w:val="lowerRoman"/>
      <w:lvlText w:val="%9"/>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201091"/>
    <w:multiLevelType w:val="hybridMultilevel"/>
    <w:tmpl w:val="79F41452"/>
    <w:lvl w:ilvl="0" w:tplc="CD2ED2A2">
      <w:start w:val="1"/>
      <w:numFmt w:val="upp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2AA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4D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886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E2F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863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0C9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2FB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A97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B9"/>
    <w:rsid w:val="000370F7"/>
    <w:rsid w:val="00091C57"/>
    <w:rsid w:val="0049520F"/>
    <w:rsid w:val="00543210"/>
    <w:rsid w:val="006B5CC0"/>
    <w:rsid w:val="007165D4"/>
    <w:rsid w:val="007813B2"/>
    <w:rsid w:val="00884E4A"/>
    <w:rsid w:val="008B097D"/>
    <w:rsid w:val="00977823"/>
    <w:rsid w:val="00A11F64"/>
    <w:rsid w:val="00EB7C38"/>
    <w:rsid w:val="00EC2DB9"/>
    <w:rsid w:val="00F00D10"/>
    <w:rsid w:val="00F10DB1"/>
    <w:rsid w:val="00FC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D4BD"/>
  <w15:docId w15:val="{177BD5F6-7A87-4AF1-B29D-336C8CF9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7813B2"/>
    <w:pPr>
      <w:ind w:left="720"/>
      <w:contextualSpacing/>
    </w:pPr>
  </w:style>
  <w:style w:type="character" w:styleId="Hyperlink">
    <w:name w:val="Hyperlink"/>
    <w:basedOn w:val="DefaultParagraphFont"/>
    <w:uiPriority w:val="99"/>
    <w:unhideWhenUsed/>
    <w:rsid w:val="007813B2"/>
    <w:rPr>
      <w:color w:val="0563C1" w:themeColor="hyperlink"/>
      <w:u w:val="single"/>
    </w:rPr>
  </w:style>
  <w:style w:type="paragraph" w:styleId="NoSpacing">
    <w:name w:val="No Spacing"/>
    <w:uiPriority w:val="1"/>
    <w:qFormat/>
    <w:rsid w:val="006B5CC0"/>
    <w:pPr>
      <w:spacing w:after="0" w:line="240" w:lineRule="auto"/>
      <w:ind w:left="10" w:hanging="10"/>
    </w:pPr>
    <w:rPr>
      <w:rFonts w:ascii="Times New Roman" w:eastAsia="Times New Roman" w:hAnsi="Times New Roman" w:cs="Times New Roman"/>
      <w:color w:val="000000"/>
      <w:sz w:val="24"/>
    </w:rPr>
  </w:style>
  <w:style w:type="table" w:styleId="TableGrid">
    <w:name w:val="Table Grid"/>
    <w:basedOn w:val="TableNormal"/>
    <w:uiPriority w:val="39"/>
    <w:rsid w:val="0003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D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ch.Hetzel@jfs.ohio.gov" TargetMode="External"/><Relationship Id="rId13" Type="http://schemas.openxmlformats.org/officeDocument/2006/relationships/hyperlink" Target="mailto:Matthew.Longfellow@jfs.ohio.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eanette.McClain@jfs.ohio.gov" TargetMode="External"/><Relationship Id="rId12" Type="http://schemas.openxmlformats.org/officeDocument/2006/relationships/hyperlink" Target="mailto:Darryl.Gaither@jfs.ohio.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nda.oconnor@education.ohio.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Okeefe@jfs.ohio.gov" TargetMode="External"/><Relationship Id="rId5" Type="http://schemas.openxmlformats.org/officeDocument/2006/relationships/footnotes" Target="footnotes.xml"/><Relationship Id="rId15" Type="http://schemas.openxmlformats.org/officeDocument/2006/relationships/hyperlink" Target="mailto:Patrick.Reardon@jfs.ohio.gov" TargetMode="External"/><Relationship Id="rId10" Type="http://schemas.openxmlformats.org/officeDocument/2006/relationships/hyperlink" Target="mailto:Julie.Mettler@jfs.ohio.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chael.Chastain@jfs.ohio.gov" TargetMode="External"/><Relationship Id="rId14" Type="http://schemas.openxmlformats.org/officeDocument/2006/relationships/hyperlink" Target="mailto:Rebecca.DeMatteis@jf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Definitions</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BAECHD</dc:creator>
  <cp:keywords/>
  <cp:lastModifiedBy>O'Connor, Linda</cp:lastModifiedBy>
  <cp:revision>2</cp:revision>
  <dcterms:created xsi:type="dcterms:W3CDTF">2018-09-10T13:30:00Z</dcterms:created>
  <dcterms:modified xsi:type="dcterms:W3CDTF">2018-09-10T13:30:00Z</dcterms:modified>
</cp:coreProperties>
</file>